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jc w:val="center"/>
      </w:pPr>
      <w:r>
        <w:rPr>
          <w:rFonts w:ascii="Aptos Display" w:hAnsi="Aptos Display"/>
          <w:b/>
          <w:color w:val="2F80C8"/>
          <w:sz w:val="26"/>
        </w:rPr>
        <w:t>PREMIER TRADE EXCHANGE</w:t>
      </w:r>
    </w:p>
    <w:p>
      <w:pPr>
        <w:pStyle w:val="Title"/>
        <w:spacing w:before="500"/>
        <w:jc w:val="center"/>
      </w:pPr>
      <w:r>
        <w:rPr>
          <w:rFonts w:ascii="Aptos Display" w:hAnsi="Aptos Display"/>
          <w:b/>
          <w:color w:val="102A43"/>
          <w:sz w:val="54"/>
        </w:rPr>
        <w:t>ELECTRONIC COMMUNICATIONS CONSENT</w:t>
      </w:r>
    </w:p>
    <w:p>
      <w:pPr>
        <w:pStyle w:val="Subtitle"/>
        <w:jc w:val="center"/>
      </w:pPr>
      <w:r>
        <w:rPr>
          <w:rFonts w:ascii="Aptos" w:hAnsi="Aptos"/>
          <w:color w:val="2F80C8"/>
          <w:sz w:val="25"/>
        </w:rPr>
        <w:t>Electronic Records and Signature Consent</w:t>
      </w:r>
    </w:p>
    <w:tbl>
      <w:tblPr>
        <w:tblW w:type="auto" w:w="0"/>
        <w:jc w:val="center"/>
        <w:tblLayout w:type="fixed"/>
        <w:tblLook w:firstColumn="1" w:firstRow="1" w:lastColumn="0" w:lastRow="0" w:noHBand="0" w:noVBand="1" w:val="04A0"/>
      </w:tblPr>
      <w:tblGrid>
        <w:gridCol w:w="3360"/>
        <w:gridCol w:w="3360"/>
        <w:gridCol w:w="3360"/>
      </w:tblGrid>
      <w:tr>
        <w:trPr>
          <w:trHeight w:val="86"/>
        </w:trPr>
        <w:tc>
          <w:tcPr>
            <w:tcW w:type="dxa" w:w="1584"/>
            <w:shd w:fill="102A43"/>
          </w:tcPr>
          <w:p>
            <w:r/>
          </w:p>
        </w:tc>
        <w:tc>
          <w:tcPr>
            <w:tcW w:type="dxa" w:w="5040"/>
            <w:shd w:fill="2F80C8"/>
          </w:tcPr>
          <w:p>
            <w:r/>
          </w:p>
        </w:tc>
        <w:tc>
          <w:tcPr>
            <w:tcW w:type="dxa" w:w="1584"/>
            <w:shd w:fill="B28A2E"/>
          </w:tcPr>
          <w:p>
            <w:r/>
          </w:p>
        </w:tc>
      </w:tr>
    </w:tbl>
    <w:p>
      <w:pPr>
        <w:spacing w:before="520"/>
        <w:jc w:val="center"/>
      </w:pPr>
      <w:r>
        <w:rPr>
          <w:rFonts w:ascii="Aptos" w:hAnsi="Aptos"/>
          <w:b/>
          <w:color w:val="102A43"/>
          <w:sz w:val="19"/>
        </w:rPr>
        <w:t xml:space="preserve">Website Document Version: </w:t>
      </w:r>
      <w:r>
        <w:rPr>
          <w:rFonts w:ascii="Aptos" w:hAnsi="Aptos"/>
          <w:color w:val="263238"/>
          <w:sz w:val="19"/>
        </w:rPr>
        <w:t>1.0</w:t>
        <w:br/>
      </w:r>
      <w:r>
        <w:rPr>
          <w:rFonts w:ascii="Aptos" w:hAnsi="Aptos"/>
          <w:b/>
          <w:color w:val="102A43"/>
          <w:sz w:val="19"/>
        </w:rPr>
        <w:t xml:space="preserve">Effective Date: </w:t>
      </w:r>
      <w:r>
        <w:rPr>
          <w:rFonts w:ascii="Aptos" w:hAnsi="Aptos"/>
          <w:color w:val="263238"/>
          <w:sz w:val="19"/>
        </w:rPr>
        <w:t>July 12, 2026</w:t>
        <w:br/>
      </w:r>
      <w:r>
        <w:rPr>
          <w:rFonts w:ascii="Aptos" w:hAnsi="Aptos"/>
          <w:b/>
          <w:color w:val="102A43"/>
          <w:sz w:val="19"/>
        </w:rPr>
        <w:t xml:space="preserve">Last Updated: </w:t>
      </w:r>
      <w:r>
        <w:rPr>
          <w:rFonts w:ascii="Aptos" w:hAnsi="Aptos"/>
          <w:color w:val="263238"/>
          <w:sz w:val="19"/>
        </w:rPr>
        <w:t>July 13, 2026</w:t>
        <w:br/>
      </w:r>
    </w:p>
    <w:p>
      <w:pPr>
        <w:spacing w:before="400"/>
        <w:jc w:val="center"/>
      </w:pPr>
      <w:r>
        <w:rPr>
          <w:rFonts w:ascii="Aptos" w:hAnsi="Aptos"/>
          <w:b/>
          <w:color w:val="2F80C8"/>
          <w:sz w:val="17"/>
        </w:rPr>
        <w:t>ISSUED AND ADMINISTERED BY</w:t>
      </w:r>
    </w:p>
    <w:p>
      <w:pPr>
        <w:jc w:val="center"/>
      </w:pPr>
      <w:r>
        <w:rPr>
          <w:rFonts w:ascii="Aptos" w:hAnsi="Aptos"/>
          <w:b/>
          <w:color w:val="263238"/>
          <w:sz w:val="18"/>
        </w:rPr>
        <w:t>The RH Group LLC d/b/a Premier Trade Exchange</w:t>
      </w:r>
      <w:r>
        <w:rPr>
          <w:rFonts w:ascii="Aptos" w:hAnsi="Aptos"/>
          <w:color w:val="263238"/>
          <w:sz w:val="18"/>
        </w:rPr>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tbl>
      <w:tblPr>
        <w:tblW w:type="auto" w:w="0"/>
        <w:jc w:val="center"/>
        <w:tblLayout w:type="fixed"/>
        <w:tblLook w:firstColumn="1" w:firstRow="1" w:lastColumn="0" w:lastRow="0" w:noHBand="0" w:noVBand="1" w:val="04A0"/>
      </w:tblPr>
      <w:tblGrid>
        <w:gridCol w:w="10080"/>
      </w:tblGrid>
      <w:tr>
        <w:tc>
          <w:tcPr>
            <w:tcW w:type="dxa" w:w="8784"/>
            <w:shd w:fill="F3F7FA"/>
            <w:tcMar>
              <w:top w:w="150" w:type="dxa"/>
              <w:start w:w="180" w:type="dxa"/>
              <w:bottom w:w="150" w:type="dxa"/>
              <w:end w:w="180" w:type="dxa"/>
            </w:tcMar>
            <w:tcBorders>
              <w:top w:val="single" w:sz="8" w:color="2F80C8"/>
              <w:left w:val="single" w:sz="8" w:color="2F80C8"/>
              <w:bottom w:val="single" w:sz="8" w:color="2F80C8"/>
              <w:right w:val="single" w:sz="8" w:color="2F80C8"/>
            </w:tcBorders>
          </w:tcPr>
          <w:p>
            <w:pPr>
              <w:jc w:val="center"/>
            </w:pPr>
            <w:r>
              <w:rPr>
                <w:rFonts w:ascii="Aptos" w:hAnsi="Aptos"/>
                <w:b/>
                <w:color w:val="102A43"/>
                <w:sz w:val="16"/>
              </w:rPr>
              <w:t>ATTORNEY-REVIEW NOTICE</w:t>
            </w:r>
          </w:p>
          <w:p>
            <w:pPr>
              <w:jc w:val="center"/>
            </w:pPr>
            <w:r>
              <w:rPr>
                <w:rFonts w:ascii="Aptos" w:hAnsi="Aptos"/>
                <w:color w:val="263238"/>
                <w:sz w:val="16"/>
              </w:rPr>
              <w:t>This is a comprehensive business legal document prepared for operational and website implementation. It is not a substitute for jurisdiction-specific legal advice and should be reviewed and approved by qualified counsel before public deployment or execution.</w:t>
            </w:r>
          </w:p>
        </w:tc>
      </w:tr>
    </w:tbl>
    <w:p>
      <w:pPr>
        <w:spacing w:before="360"/>
        <w:jc w:val="center"/>
      </w:pPr>
      <w:r>
        <w:rPr>
          <w:rFonts w:ascii="Aptos" w:hAnsi="Aptos"/>
          <w:b/>
          <w:color w:val="9C2F2F"/>
          <w:sz w:val="16"/>
        </w:rPr>
        <w:t>CONFIDENTIAL BUSINESS LEGAL DOCUMENT</w:t>
      </w:r>
    </w:p>
    <w:p>
      <w:r>
        <w:br w:type="page"/>
      </w:r>
    </w:p>
    <w:p>
      <w:pPr>
        <w:pStyle w:val="Heading1"/>
      </w:pPr>
      <w:r>
        <w:t>CONTENTS</w:t>
      </w:r>
    </w:p>
    <w:p>
      <w:r>
        <w:rPr>
          <w:rFonts w:ascii="Aptos" w:hAnsi="Aptos"/>
          <w:i/>
          <w:color w:val="5C6B73"/>
          <w:sz w:val="17"/>
        </w:rPr>
        <w:t>Use the document outline in Microsoft Word or Google Docs to navigate by Article. The headings below reflect the contractual structure of this document.</w:t>
      </w:r>
    </w:p>
    <w:p>
      <w:pPr>
        <w:pStyle w:val="ContentsEntry"/>
      </w:pPr>
      <w:r>
        <w:rPr>
          <w:rFonts w:ascii="Aptos" w:hAnsi="Aptos"/>
          <w:color w:val="263238"/>
          <w:sz w:val="18"/>
        </w:rPr>
        <w:t>ARTICLE 1 — AGREEMENT TO TRANSACT ELECTRONICALLY</w:t>
      </w:r>
    </w:p>
    <w:p>
      <w:pPr>
        <w:pStyle w:val="ContentsEntry"/>
      </w:pPr>
      <w:r>
        <w:rPr>
          <w:rFonts w:ascii="Aptos" w:hAnsi="Aptos"/>
          <w:color w:val="263238"/>
          <w:sz w:val="18"/>
        </w:rPr>
        <w:t>ARTICLE 2 — RECORDS AND DELIVERY METHODS</w:t>
      </w:r>
    </w:p>
    <w:p>
      <w:pPr>
        <w:pStyle w:val="ContentsEntry"/>
      </w:pPr>
      <w:r>
        <w:rPr>
          <w:rFonts w:ascii="Aptos" w:hAnsi="Aptos"/>
          <w:color w:val="263238"/>
          <w:sz w:val="18"/>
        </w:rPr>
        <w:t>ARTICLE 3 — TECHNICAL REQUIREMENTS</w:t>
      </w:r>
    </w:p>
    <w:p>
      <w:pPr>
        <w:pStyle w:val="ContentsEntry"/>
      </w:pPr>
      <w:r>
        <w:rPr>
          <w:rFonts w:ascii="Aptos" w:hAnsi="Aptos"/>
          <w:color w:val="263238"/>
          <w:sz w:val="18"/>
        </w:rPr>
        <w:t>ARTICLE 4 — ELECTRONIC SIGNATURE METHODS</w:t>
      </w:r>
    </w:p>
    <w:p>
      <w:pPr>
        <w:pStyle w:val="ContentsEntry"/>
      </w:pPr>
      <w:r>
        <w:rPr>
          <w:rFonts w:ascii="Aptos" w:hAnsi="Aptos"/>
          <w:color w:val="263238"/>
          <w:sz w:val="18"/>
        </w:rPr>
        <w:t>ARTICLE 5 — AUTHORITY</w:t>
      </w:r>
    </w:p>
    <w:p>
      <w:pPr>
        <w:pStyle w:val="ContentsEntry"/>
      </w:pPr>
      <w:r>
        <w:rPr>
          <w:rFonts w:ascii="Aptos" w:hAnsi="Aptos"/>
          <w:color w:val="263238"/>
          <w:sz w:val="18"/>
        </w:rPr>
        <w:t>ARTICLE 6 — SECURITY</w:t>
      </w:r>
    </w:p>
    <w:p>
      <w:pPr>
        <w:pStyle w:val="ContentsEntry"/>
      </w:pPr>
      <w:r>
        <w:rPr>
          <w:rFonts w:ascii="Aptos" w:hAnsi="Aptos"/>
          <w:color w:val="263238"/>
          <w:sz w:val="18"/>
        </w:rPr>
        <w:t>ARTICLE 7 — ATTRIBUTION</w:t>
      </w:r>
    </w:p>
    <w:p>
      <w:pPr>
        <w:pStyle w:val="ContentsEntry"/>
      </w:pPr>
      <w:r>
        <w:rPr>
          <w:rFonts w:ascii="Aptos" w:hAnsi="Aptos"/>
          <w:color w:val="263238"/>
          <w:sz w:val="18"/>
        </w:rPr>
        <w:t>ARTICLE 8 — ELECTRONIC TRANSACTIONS</w:t>
      </w:r>
    </w:p>
    <w:p>
      <w:pPr>
        <w:pStyle w:val="ContentsEntry"/>
      </w:pPr>
      <w:r>
        <w:rPr>
          <w:rFonts w:ascii="Aptos" w:hAnsi="Aptos"/>
          <w:color w:val="263238"/>
          <w:sz w:val="18"/>
        </w:rPr>
        <w:t>ARTICLE 9 — AUTOMATED SYSTEMS AND ERRORS</w:t>
      </w:r>
    </w:p>
    <w:p>
      <w:pPr>
        <w:pStyle w:val="ContentsEntry"/>
      </w:pPr>
      <w:r>
        <w:rPr>
          <w:rFonts w:ascii="Aptos" w:hAnsi="Aptos"/>
          <w:color w:val="263238"/>
          <w:sz w:val="18"/>
        </w:rPr>
        <w:t>ARTICLE 10 — NOTICES AND RECEIPT</w:t>
      </w:r>
    </w:p>
    <w:p>
      <w:pPr>
        <w:pStyle w:val="ContentsEntry"/>
      </w:pPr>
      <w:r>
        <w:rPr>
          <w:rFonts w:ascii="Aptos" w:hAnsi="Aptos"/>
          <w:color w:val="263238"/>
          <w:sz w:val="18"/>
        </w:rPr>
        <w:t>ARTICLE 11 — PAPER COPIES</w:t>
      </w:r>
    </w:p>
    <w:p>
      <w:pPr>
        <w:pStyle w:val="ContentsEntry"/>
      </w:pPr>
      <w:r>
        <w:rPr>
          <w:rFonts w:ascii="Aptos" w:hAnsi="Aptos"/>
          <w:color w:val="263238"/>
          <w:sz w:val="18"/>
        </w:rPr>
        <w:t>ARTICLE 12 — WITHDRAWAL</w:t>
      </w:r>
    </w:p>
    <w:p>
      <w:pPr>
        <w:pStyle w:val="ContentsEntry"/>
      </w:pPr>
      <w:r>
        <w:rPr>
          <w:rFonts w:ascii="Aptos" w:hAnsi="Aptos"/>
          <w:color w:val="263238"/>
          <w:sz w:val="18"/>
        </w:rPr>
        <w:t>ARTICLE 13 — RETENTION AND ACCESS</w:t>
      </w:r>
    </w:p>
    <w:p>
      <w:pPr>
        <w:pStyle w:val="ContentsEntry"/>
      </w:pPr>
      <w:r>
        <w:rPr>
          <w:rFonts w:ascii="Aptos" w:hAnsi="Aptos"/>
          <w:color w:val="263238"/>
          <w:sz w:val="18"/>
        </w:rPr>
        <w:t>ARTICLE 14 — ORIGINALS, COUNTERPARTS, AND SPECIAL DOCUMENTS</w:t>
      </w:r>
    </w:p>
    <w:p>
      <w:pPr>
        <w:pStyle w:val="ContentsEntry"/>
      </w:pPr>
      <w:r>
        <w:rPr>
          <w:rFonts w:ascii="Aptos" w:hAnsi="Aptos"/>
          <w:color w:val="263238"/>
          <w:sz w:val="18"/>
        </w:rPr>
        <w:t>ARTICLE 15 — EVIDENCE</w:t>
      </w:r>
    </w:p>
    <w:p>
      <w:pPr>
        <w:pStyle w:val="ContentsEntry"/>
      </w:pPr>
      <w:r>
        <w:rPr>
          <w:rFonts w:ascii="Aptos" w:hAnsi="Aptos"/>
          <w:color w:val="263238"/>
          <w:sz w:val="18"/>
        </w:rPr>
        <w:t>ARTICLE 16 — PRIVACY AND CONFIDENTIALITY</w:t>
      </w:r>
    </w:p>
    <w:p>
      <w:pPr>
        <w:pStyle w:val="ContentsEntry"/>
      </w:pPr>
      <w:r>
        <w:rPr>
          <w:rFonts w:ascii="Aptos" w:hAnsi="Aptos"/>
          <w:color w:val="263238"/>
          <w:sz w:val="18"/>
        </w:rPr>
        <w:t>ARTICLE 17 — RISKS AND OUTAGES</w:t>
      </w:r>
    </w:p>
    <w:p>
      <w:pPr>
        <w:pStyle w:val="ContentsEntry"/>
      </w:pPr>
      <w:r>
        <w:rPr>
          <w:rFonts w:ascii="Aptos" w:hAnsi="Aptos"/>
          <w:color w:val="263238"/>
          <w:sz w:val="18"/>
        </w:rPr>
        <w:t>ARTICLE 18 — INTERNATIONAL RECOGNITION</w:t>
      </w:r>
    </w:p>
    <w:p>
      <w:pPr>
        <w:pStyle w:val="ContentsEntry"/>
      </w:pPr>
      <w:r>
        <w:rPr>
          <w:rFonts w:ascii="Aptos" w:hAnsi="Aptos"/>
          <w:color w:val="263238"/>
          <w:sz w:val="18"/>
        </w:rPr>
        <w:t>ARTICLE 19 — LIABILITY AND INDEMNITY</w:t>
      </w:r>
    </w:p>
    <w:p>
      <w:pPr>
        <w:pStyle w:val="ContentsEntry"/>
      </w:pPr>
      <w:r>
        <w:rPr>
          <w:rFonts w:ascii="Aptos" w:hAnsi="Aptos"/>
          <w:color w:val="263238"/>
          <w:sz w:val="18"/>
        </w:rPr>
        <w:t>ARTICLE 20 — ACKNOWLEDGMENT</w:t>
      </w:r>
    </w:p>
    <w:p>
      <w:r>
        <w:br w:type="page"/>
      </w:r>
    </w:p>
    <w:tbl>
      <w:tblPr>
        <w:tblW w:type="auto" w:w="0"/>
        <w:jc w:val="center"/>
        <w:tblLayout w:type="fixed"/>
        <w:tblLook w:firstColumn="1" w:firstRow="1" w:lastColumn="0" w:lastRow="0" w:noHBand="0" w:noVBand="1" w:val="04A0"/>
      </w:tblPr>
      <w:tblGrid>
        <w:gridCol w:w="10080"/>
      </w:tblGrid>
      <w:tr>
        <w:tc>
          <w:tcPr>
            <w:tcW w:type="dxa" w:w="8784"/>
            <w:shd w:fill="DCEFFC"/>
            <w:tcMar>
              <w:top w:w="160" w:type="dxa"/>
              <w:start w:w="180" w:type="dxa"/>
              <w:bottom w:w="160" w:type="dxa"/>
              <w:end w:w="180" w:type="dxa"/>
            </w:tcMar>
            <w:tcBorders>
              <w:top w:val="single" w:sz="10" w:color="2F80C8"/>
              <w:left w:val="single" w:sz="10" w:color="2F80C8"/>
              <w:bottom w:val="single" w:sz="10" w:color="2F80C8"/>
              <w:right w:val="single" w:sz="10" w:color="2F80C8"/>
            </w:tcBorders>
          </w:tcPr>
          <w:p>
            <w:r>
              <w:rPr>
                <w:rFonts w:ascii="Aptos Display" w:hAnsi="Aptos Display"/>
                <w:b/>
                <w:color w:val="102A43"/>
                <w:sz w:val="21"/>
              </w:rPr>
              <w:t>IMPORTANT ELECTRONIC CONSENT NOTICE</w:t>
            </w:r>
          </w:p>
          <w:p>
            <w:pPr>
              <w:spacing w:after="0"/>
            </w:pPr>
            <w:r>
              <w:rPr>
                <w:rFonts w:ascii="Aptos" w:hAnsi="Aptos"/>
                <w:color w:val="263238"/>
                <w:sz w:val="18"/>
              </w:rPr>
              <w:t>By accepting this Consent, the Member agrees that PTE may provide, execute, obtain, maintain, and rely on electronic agreements, disclosures, notices, applications, Order Forms, Schedules, Listings, Orders, Transaction Confirmations, settlement instructions, Trade Credit instructions, Conversion documents, invoices, statements, compliance requests, policy updates, authorizations, amendments, disputes, signatures, and other records.</w:t>
            </w:r>
          </w:p>
        </w:tc>
      </w:tr>
    </w:tbl>
    <w:p>
      <w:pPr>
        <w:pStyle w:val="Heading1"/>
        <w:keepNext/>
        <w:keepLines/>
      </w:pPr>
      <w:r>
        <w:rPr>
          <w:rFonts w:ascii="Aptos" w:hAnsi="Aptos"/>
          <w:color w:val="102A43"/>
          <w:sz w:val="28"/>
        </w:rPr>
        <w:t>ARTICLE 1 — AGREEMENT TO TRANSACT ELECTRONICALLY</w:t>
      </w:r>
    </w:p>
    <w:p>
      <w:pPr>
        <w:spacing w:after="56"/>
        <w:ind w:left="432" w:hanging="317"/>
      </w:pPr>
      <w:r>
        <w:rPr>
          <w:rFonts w:ascii="Aptos" w:hAnsi="Aptos"/>
          <w:color w:val="263238"/>
          <w:sz w:val="18"/>
        </w:rPr>
        <w:t xml:space="preserve">1.  </w:t>
      </w:r>
      <w:r>
        <w:rPr>
          <w:rFonts w:ascii="Aptos" w:hAnsi="Aptos"/>
          <w:color w:val="263238"/>
          <w:sz w:val="18"/>
        </w:rPr>
        <w:t>The Member affirmatively agrees to conduct the PTE relationship electronically.</w:t>
      </w:r>
    </w:p>
    <w:p>
      <w:pPr>
        <w:spacing w:after="56"/>
        <w:ind w:left="432" w:hanging="317"/>
      </w:pPr>
      <w:r>
        <w:rPr>
          <w:rFonts w:ascii="Aptos" w:hAnsi="Aptos"/>
          <w:color w:val="263238"/>
          <w:sz w:val="18"/>
        </w:rPr>
        <w:t xml:space="preserve">2.  </w:t>
      </w:r>
      <w:r>
        <w:rPr>
          <w:rFonts w:ascii="Aptos" w:hAnsi="Aptos"/>
          <w:color w:val="263238"/>
          <w:sz w:val="18"/>
        </w:rPr>
        <w:t>The Consent covers applications, activation, renewals, Accounts, verification, Schedules, Marketplace, Transactions, Cash, Trade Credits, Conversion, fees, statements, notices, disputes, suspension, and termination.</w:t>
      </w:r>
    </w:p>
    <w:p>
      <w:pPr>
        <w:spacing w:after="56"/>
        <w:ind w:left="432" w:hanging="317"/>
      </w:pPr>
      <w:r>
        <w:rPr>
          <w:rFonts w:ascii="Aptos" w:hAnsi="Aptos"/>
          <w:color w:val="263238"/>
          <w:sz w:val="18"/>
        </w:rPr>
        <w:t xml:space="preserve">3.  </w:t>
      </w:r>
      <w:r>
        <w:rPr>
          <w:rFonts w:ascii="Aptos" w:hAnsi="Aptos"/>
          <w:color w:val="263238"/>
          <w:sz w:val="18"/>
        </w:rPr>
        <w:t>Additional approval may be required for a specific Transaction or high-risk action.</w:t>
      </w:r>
    </w:p>
    <w:p>
      <w:pPr>
        <w:spacing w:after="56"/>
        <w:ind w:left="432" w:hanging="317"/>
      </w:pPr>
      <w:r>
        <w:rPr>
          <w:rFonts w:ascii="Aptos" w:hAnsi="Aptos"/>
          <w:color w:val="263238"/>
          <w:sz w:val="18"/>
        </w:rPr>
        <w:t xml:space="preserve">4.  </w:t>
      </w:r>
      <w:r>
        <w:rPr>
          <w:rFonts w:ascii="Aptos" w:hAnsi="Aptos"/>
          <w:color w:val="263238"/>
          <w:sz w:val="18"/>
        </w:rPr>
        <w:t>Electronic form changes delivery and execution method, not substantive rights.</w:t>
      </w:r>
    </w:p>
    <w:p>
      <w:pPr>
        <w:pStyle w:val="Heading1"/>
        <w:keepNext/>
        <w:keepLines/>
      </w:pPr>
      <w:r>
        <w:rPr>
          <w:rFonts w:ascii="Aptos" w:hAnsi="Aptos"/>
          <w:color w:val="102A43"/>
          <w:sz w:val="28"/>
        </w:rPr>
        <w:t>ARTICLE 2 — RECORDS AND DELIVERY METHODS</w:t>
      </w:r>
    </w:p>
    <w:p>
      <w:pPr>
        <w:keepLines/>
      </w:pPr>
      <w:r>
        <w:rPr>
          <w:rFonts w:ascii="Aptos" w:hAnsi="Aptos"/>
          <w:color w:val="263238"/>
          <w:sz w:val="19"/>
        </w:rPr>
        <w:t>PTE may deliver records through:</w:t>
      </w:r>
    </w:p>
    <w:p>
      <w:pPr>
        <w:spacing w:after="56"/>
        <w:ind w:left="432" w:hanging="317"/>
      </w:pPr>
      <w:r>
        <w:rPr>
          <w:rFonts w:ascii="Aptos" w:hAnsi="Aptos"/>
          <w:color w:val="263238"/>
          <w:sz w:val="18"/>
        </w:rPr>
        <w:t xml:space="preserve">1.  </w:t>
      </w:r>
      <w:r>
        <w:rPr>
          <w:rFonts w:ascii="Aptos" w:hAnsi="Aptos"/>
          <w:color w:val="263238"/>
          <w:sz w:val="18"/>
        </w:rPr>
        <w:t>Email or email links;</w:t>
      </w:r>
    </w:p>
    <w:p>
      <w:pPr>
        <w:spacing w:after="56"/>
        <w:ind w:left="432" w:hanging="317"/>
      </w:pPr>
      <w:r>
        <w:rPr>
          <w:rFonts w:ascii="Aptos" w:hAnsi="Aptos"/>
          <w:color w:val="263238"/>
          <w:sz w:val="18"/>
        </w:rPr>
        <w:t xml:space="preserve">2.  </w:t>
      </w:r>
      <w:r>
        <w:rPr>
          <w:rFonts w:ascii="Aptos" w:hAnsi="Aptos"/>
          <w:color w:val="263238"/>
          <w:sz w:val="18"/>
        </w:rPr>
        <w:t>Member Account and dashboard;</w:t>
      </w:r>
    </w:p>
    <w:p>
      <w:pPr>
        <w:spacing w:after="56"/>
        <w:ind w:left="432" w:hanging="317"/>
      </w:pPr>
      <w:r>
        <w:rPr>
          <w:rFonts w:ascii="Aptos" w:hAnsi="Aptos"/>
          <w:color w:val="263238"/>
          <w:sz w:val="18"/>
        </w:rPr>
        <w:t xml:space="preserve">3.  </w:t>
      </w:r>
      <w:r>
        <w:rPr>
          <w:rFonts w:ascii="Aptos" w:hAnsi="Aptos"/>
          <w:color w:val="263238"/>
          <w:sz w:val="18"/>
        </w:rPr>
        <w:t>Secure document centre;</w:t>
      </w:r>
    </w:p>
    <w:p>
      <w:pPr>
        <w:spacing w:after="56"/>
        <w:ind w:left="432" w:hanging="317"/>
      </w:pPr>
      <w:r>
        <w:rPr>
          <w:rFonts w:ascii="Aptos" w:hAnsi="Aptos"/>
          <w:color w:val="263238"/>
          <w:sz w:val="18"/>
        </w:rPr>
        <w:t xml:space="preserve">4.  </w:t>
      </w:r>
      <w:r>
        <w:rPr>
          <w:rFonts w:ascii="Aptos" w:hAnsi="Aptos"/>
          <w:color w:val="263238"/>
          <w:sz w:val="18"/>
        </w:rPr>
        <w:t>Support ticket;</w:t>
      </w:r>
    </w:p>
    <w:p>
      <w:pPr>
        <w:spacing w:after="56"/>
        <w:ind w:left="432" w:hanging="317"/>
      </w:pPr>
      <w:r>
        <w:rPr>
          <w:rFonts w:ascii="Aptos" w:hAnsi="Aptos"/>
          <w:color w:val="263238"/>
          <w:sz w:val="18"/>
        </w:rPr>
        <w:t xml:space="preserve">5.  </w:t>
      </w:r>
      <w:r>
        <w:rPr>
          <w:rFonts w:ascii="Aptos" w:hAnsi="Aptos"/>
          <w:color w:val="263238"/>
          <w:sz w:val="18"/>
        </w:rPr>
        <w:t>Signature, payment, or escrow platform;</w:t>
      </w:r>
    </w:p>
    <w:p>
      <w:pPr>
        <w:spacing w:after="56"/>
        <w:ind w:left="432" w:hanging="317"/>
      </w:pPr>
      <w:r>
        <w:rPr>
          <w:rFonts w:ascii="Aptos" w:hAnsi="Aptos"/>
          <w:color w:val="263238"/>
          <w:sz w:val="18"/>
        </w:rPr>
        <w:t xml:space="preserve">6.  </w:t>
      </w:r>
      <w:r>
        <w:rPr>
          <w:rFonts w:ascii="Aptos" w:hAnsi="Aptos"/>
          <w:color w:val="263238"/>
          <w:sz w:val="18"/>
        </w:rPr>
        <w:t>Downloadable PDF, HTML, text, spreadsheet, image, or structured form;</w:t>
      </w:r>
    </w:p>
    <w:p>
      <w:pPr>
        <w:spacing w:after="56"/>
        <w:ind w:left="432" w:hanging="317"/>
      </w:pPr>
      <w:r>
        <w:rPr>
          <w:rFonts w:ascii="Aptos" w:hAnsi="Aptos"/>
          <w:color w:val="263238"/>
          <w:sz w:val="18"/>
        </w:rPr>
        <w:t xml:space="preserve">7.  </w:t>
      </w:r>
      <w:r>
        <w:rPr>
          <w:rFonts w:ascii="Aptos" w:hAnsi="Aptos"/>
          <w:color w:val="263238"/>
          <w:sz w:val="18"/>
        </w:rPr>
        <w:t>Website or in-platform notice.</w:t>
      </w:r>
    </w:p>
    <w:p>
      <w:pPr>
        <w:keepLines/>
      </w:pPr>
      <w:r>
        <w:rPr>
          <w:rFonts w:ascii="Aptos" w:hAnsi="Aptos"/>
          <w:color w:val="263238"/>
          <w:sz w:val="19"/>
        </w:rPr>
        <w:t>Required written records will be made reasonably viewable, downloadable, savable, or printable where applicable.</w:t>
      </w:r>
    </w:p>
    <w:p>
      <w:pPr>
        <w:pStyle w:val="Heading1"/>
        <w:keepNext/>
        <w:keepLines/>
      </w:pPr>
      <w:r>
        <w:rPr>
          <w:rFonts w:ascii="Aptos" w:hAnsi="Aptos"/>
          <w:color w:val="102A43"/>
          <w:sz w:val="28"/>
        </w:rPr>
        <w:t>ARTICLE 3 — TECHNICAL REQUIREMENTS</w:t>
      </w:r>
    </w:p>
    <w:p>
      <w:pPr>
        <w:keepLines/>
      </w:pPr>
      <w:r>
        <w:rPr>
          <w:rFonts w:ascii="Aptos" w:hAnsi="Aptos"/>
          <w:color w:val="263238"/>
          <w:sz w:val="19"/>
        </w:rPr>
        <w:t>The Member must have:</w:t>
      </w:r>
    </w:p>
    <w:p>
      <w:pPr>
        <w:spacing w:after="56"/>
        <w:ind w:left="432" w:hanging="317"/>
      </w:pPr>
      <w:r>
        <w:rPr>
          <w:rFonts w:ascii="Aptos" w:hAnsi="Aptos"/>
          <w:color w:val="263238"/>
          <w:sz w:val="18"/>
        </w:rPr>
        <w:t xml:space="preserve">1.  </w:t>
      </w:r>
      <w:r>
        <w:rPr>
          <w:rFonts w:ascii="Aptos" w:hAnsi="Aptos"/>
          <w:color w:val="263238"/>
          <w:sz w:val="18"/>
        </w:rPr>
        <w:t>Internet-capable device;</w:t>
      </w:r>
    </w:p>
    <w:p>
      <w:pPr>
        <w:spacing w:after="56"/>
        <w:ind w:left="432" w:hanging="317"/>
      </w:pPr>
      <w:r>
        <w:rPr>
          <w:rFonts w:ascii="Aptos" w:hAnsi="Aptos"/>
          <w:color w:val="263238"/>
          <w:sz w:val="18"/>
        </w:rPr>
        <w:t xml:space="preserve">2.  </w:t>
      </w:r>
      <w:r>
        <w:rPr>
          <w:rFonts w:ascii="Aptos" w:hAnsi="Aptos"/>
          <w:color w:val="263238"/>
          <w:sz w:val="18"/>
        </w:rPr>
        <w:t>Supported browser;</w:t>
      </w:r>
    </w:p>
    <w:p>
      <w:pPr>
        <w:spacing w:after="56"/>
        <w:ind w:left="432" w:hanging="317"/>
      </w:pPr>
      <w:r>
        <w:rPr>
          <w:rFonts w:ascii="Aptos" w:hAnsi="Aptos"/>
          <w:color w:val="263238"/>
          <w:sz w:val="18"/>
        </w:rPr>
        <w:t xml:space="preserve">3.  </w:t>
      </w:r>
      <w:r>
        <w:rPr>
          <w:rFonts w:ascii="Aptos" w:hAnsi="Aptos"/>
          <w:color w:val="263238"/>
          <w:sz w:val="18"/>
        </w:rPr>
        <w:t>Valid email;</w:t>
      </w:r>
    </w:p>
    <w:p>
      <w:pPr>
        <w:spacing w:after="56"/>
        <w:ind w:left="432" w:hanging="317"/>
      </w:pPr>
      <w:r>
        <w:rPr>
          <w:rFonts w:ascii="Aptos" w:hAnsi="Aptos"/>
          <w:color w:val="263238"/>
          <w:sz w:val="18"/>
        </w:rPr>
        <w:t xml:space="preserve">4.  </w:t>
      </w:r>
      <w:r>
        <w:rPr>
          <w:rFonts w:ascii="Aptos" w:hAnsi="Aptos"/>
          <w:color w:val="263238"/>
          <w:sz w:val="18"/>
        </w:rPr>
        <w:t>PDF capability;</w:t>
      </w:r>
    </w:p>
    <w:p>
      <w:pPr>
        <w:spacing w:after="56"/>
        <w:ind w:left="432" w:hanging="317"/>
      </w:pPr>
      <w:r>
        <w:rPr>
          <w:rFonts w:ascii="Aptos" w:hAnsi="Aptos"/>
          <w:color w:val="263238"/>
          <w:sz w:val="18"/>
        </w:rPr>
        <w:t xml:space="preserve">5.  </w:t>
      </w:r>
      <w:r>
        <w:rPr>
          <w:rFonts w:ascii="Aptos" w:hAnsi="Aptos"/>
          <w:color w:val="263238"/>
          <w:sz w:val="18"/>
        </w:rPr>
        <w:t>Storage and download capability;</w:t>
      </w:r>
    </w:p>
    <w:p>
      <w:pPr>
        <w:spacing w:after="56"/>
        <w:ind w:left="432" w:hanging="317"/>
      </w:pPr>
      <w:r>
        <w:rPr>
          <w:rFonts w:ascii="Aptos" w:hAnsi="Aptos"/>
          <w:color w:val="263238"/>
          <w:sz w:val="18"/>
        </w:rPr>
        <w:t xml:space="preserve">6.  </w:t>
      </w:r>
      <w:r>
        <w:rPr>
          <w:rFonts w:ascii="Aptos" w:hAnsi="Aptos"/>
          <w:color w:val="263238"/>
          <w:sz w:val="18"/>
        </w:rPr>
        <w:t>Ability to print or obtain a print;</w:t>
      </w:r>
    </w:p>
    <w:p>
      <w:pPr>
        <w:spacing w:after="56"/>
        <w:ind w:left="432" w:hanging="317"/>
      </w:pPr>
      <w:r>
        <w:rPr>
          <w:rFonts w:ascii="Aptos" w:hAnsi="Aptos"/>
          <w:color w:val="263238"/>
          <w:sz w:val="18"/>
        </w:rPr>
        <w:t xml:space="preserve">7.  </w:t>
      </w:r>
      <w:r>
        <w:rPr>
          <w:rFonts w:ascii="Aptos" w:hAnsi="Aptos"/>
          <w:color w:val="263238"/>
          <w:sz w:val="18"/>
        </w:rPr>
        <w:t>Telephone or authentication device where required;</w:t>
      </w:r>
    </w:p>
    <w:p>
      <w:pPr>
        <w:spacing w:after="56"/>
        <w:ind w:left="432" w:hanging="317"/>
      </w:pPr>
      <w:r>
        <w:rPr>
          <w:rFonts w:ascii="Aptos" w:hAnsi="Aptos"/>
          <w:color w:val="263238"/>
          <w:sz w:val="18"/>
        </w:rPr>
        <w:t xml:space="preserve">8.  </w:t>
      </w:r>
      <w:r>
        <w:rPr>
          <w:rFonts w:ascii="Aptos" w:hAnsi="Aptos"/>
          <w:color w:val="263238"/>
          <w:sz w:val="18"/>
        </w:rPr>
        <w:t>Appropriate business security controls.</w:t>
      </w:r>
    </w:p>
    <w:p>
      <w:pPr>
        <w:keepLines/>
      </w:pPr>
      <w:r>
        <w:rPr>
          <w:rFonts w:ascii="Aptos" w:hAnsi="Aptos"/>
          <w:color w:val="263238"/>
          <w:sz w:val="19"/>
        </w:rPr>
        <w:t>Material technical changes affecting access may require notice, alternative format, or renewed consent where legally required.</w:t>
      </w:r>
    </w:p>
    <w:p>
      <w:pPr>
        <w:pStyle w:val="Heading1"/>
        <w:keepNext/>
        <w:keepLines/>
      </w:pPr>
      <w:r>
        <w:rPr>
          <w:rFonts w:ascii="Aptos" w:hAnsi="Aptos"/>
          <w:color w:val="102A43"/>
          <w:sz w:val="28"/>
        </w:rPr>
        <w:t>ARTICLE 4 — ELECTRONIC SIGNATURE METHODS</w:t>
      </w:r>
    </w:p>
    <w:p>
      <w:pPr>
        <w:keepLines/>
      </w:pPr>
      <w:r>
        <w:rPr>
          <w:rFonts w:ascii="Aptos" w:hAnsi="Aptos"/>
          <w:color w:val="263238"/>
          <w:sz w:val="19"/>
        </w:rPr>
        <w:t>Permitted methods include:</w:t>
      </w:r>
    </w:p>
    <w:p>
      <w:pPr>
        <w:spacing w:after="56"/>
        <w:ind w:left="432" w:hanging="317"/>
      </w:pPr>
      <w:r>
        <w:rPr>
          <w:rFonts w:ascii="Aptos" w:hAnsi="Aptos"/>
          <w:color w:val="263238"/>
          <w:sz w:val="18"/>
        </w:rPr>
        <w:t xml:space="preserve">1.  </w:t>
      </w:r>
      <w:r>
        <w:rPr>
          <w:rFonts w:ascii="Aptos" w:hAnsi="Aptos"/>
          <w:color w:val="263238"/>
          <w:sz w:val="18"/>
        </w:rPr>
        <w:t>“I Agree,” “Accept,” or signature checkbox;</w:t>
      </w:r>
    </w:p>
    <w:p>
      <w:pPr>
        <w:spacing w:after="56"/>
        <w:ind w:left="432" w:hanging="317"/>
      </w:pPr>
      <w:r>
        <w:rPr>
          <w:rFonts w:ascii="Aptos" w:hAnsi="Aptos"/>
          <w:color w:val="263238"/>
          <w:sz w:val="18"/>
        </w:rPr>
        <w:t xml:space="preserve">2.  </w:t>
      </w:r>
      <w:r>
        <w:rPr>
          <w:rFonts w:ascii="Aptos" w:hAnsi="Aptos"/>
          <w:color w:val="263238"/>
          <w:sz w:val="18"/>
        </w:rPr>
        <w:t>Typed or drawn name;</w:t>
      </w:r>
    </w:p>
    <w:p>
      <w:pPr>
        <w:spacing w:after="56"/>
        <w:ind w:left="432" w:hanging="317"/>
      </w:pPr>
      <w:r>
        <w:rPr>
          <w:rFonts w:ascii="Aptos" w:hAnsi="Aptos"/>
          <w:color w:val="263238"/>
          <w:sz w:val="18"/>
        </w:rPr>
        <w:t xml:space="preserve">3.  </w:t>
      </w:r>
      <w:r>
        <w:rPr>
          <w:rFonts w:ascii="Aptos" w:hAnsi="Aptos"/>
          <w:color w:val="263238"/>
          <w:sz w:val="18"/>
        </w:rPr>
        <w:t>Signature image;</w:t>
      </w:r>
    </w:p>
    <w:p>
      <w:pPr>
        <w:spacing w:after="56"/>
        <w:ind w:left="432" w:hanging="317"/>
      </w:pPr>
      <w:r>
        <w:rPr>
          <w:rFonts w:ascii="Aptos" w:hAnsi="Aptos"/>
          <w:color w:val="263238"/>
          <w:sz w:val="18"/>
        </w:rPr>
        <w:t xml:space="preserve">4.  </w:t>
      </w:r>
      <w:r>
        <w:rPr>
          <w:rFonts w:ascii="Aptos" w:hAnsi="Aptos"/>
          <w:color w:val="263238"/>
          <w:sz w:val="18"/>
        </w:rPr>
        <w:t>Digital certificate or electronic seal;</w:t>
      </w:r>
    </w:p>
    <w:p>
      <w:pPr>
        <w:spacing w:after="56"/>
        <w:ind w:left="432" w:hanging="317"/>
      </w:pPr>
      <w:r>
        <w:rPr>
          <w:rFonts w:ascii="Aptos" w:hAnsi="Aptos"/>
          <w:color w:val="263238"/>
          <w:sz w:val="18"/>
        </w:rPr>
        <w:t xml:space="preserve">5.  </w:t>
      </w:r>
      <w:r>
        <w:rPr>
          <w:rFonts w:ascii="Aptos" w:hAnsi="Aptos"/>
          <w:color w:val="263238"/>
          <w:sz w:val="18"/>
        </w:rPr>
        <w:t>Signing service;</w:t>
      </w:r>
    </w:p>
    <w:p>
      <w:pPr>
        <w:spacing w:after="56"/>
        <w:ind w:left="432" w:hanging="317"/>
      </w:pPr>
      <w:r>
        <w:rPr>
          <w:rFonts w:ascii="Aptos" w:hAnsi="Aptos"/>
          <w:color w:val="263238"/>
          <w:sz w:val="18"/>
        </w:rPr>
        <w:t xml:space="preserve">6.  </w:t>
      </w:r>
      <w:r>
        <w:rPr>
          <w:rFonts w:ascii="Aptos" w:hAnsi="Aptos"/>
          <w:color w:val="263238"/>
          <w:sz w:val="18"/>
        </w:rPr>
        <w:t>One-time code or multifactor authentication;</w:t>
      </w:r>
    </w:p>
    <w:p>
      <w:pPr>
        <w:spacing w:after="56"/>
        <w:ind w:left="432" w:hanging="317"/>
      </w:pPr>
      <w:r>
        <w:rPr>
          <w:rFonts w:ascii="Aptos" w:hAnsi="Aptos"/>
          <w:color w:val="263238"/>
          <w:sz w:val="18"/>
        </w:rPr>
        <w:t xml:space="preserve">7.  </w:t>
      </w:r>
      <w:r>
        <w:rPr>
          <w:rFonts w:ascii="Aptos" w:hAnsi="Aptos"/>
          <w:color w:val="263238"/>
          <w:sz w:val="18"/>
        </w:rPr>
        <w:t>Authenticated Account approval;</w:t>
      </w:r>
    </w:p>
    <w:p>
      <w:pPr>
        <w:spacing w:after="56"/>
        <w:ind w:left="432" w:hanging="317"/>
      </w:pPr>
      <w:r>
        <w:rPr>
          <w:rFonts w:ascii="Aptos" w:hAnsi="Aptos"/>
          <w:color w:val="263238"/>
          <w:sz w:val="18"/>
        </w:rPr>
        <w:t xml:space="preserve">8.  </w:t>
      </w:r>
      <w:r>
        <w:rPr>
          <w:rFonts w:ascii="Aptos" w:hAnsi="Aptos"/>
          <w:color w:val="263238"/>
          <w:sz w:val="18"/>
        </w:rPr>
        <w:t>Approved email confirmation;</w:t>
      </w:r>
    </w:p>
    <w:p>
      <w:pPr>
        <w:spacing w:after="56"/>
        <w:ind w:left="432" w:hanging="317"/>
      </w:pPr>
      <w:r>
        <w:rPr>
          <w:rFonts w:ascii="Aptos" w:hAnsi="Aptos"/>
          <w:color w:val="263238"/>
          <w:sz w:val="18"/>
        </w:rPr>
        <w:t xml:space="preserve">9.  </w:t>
      </w:r>
      <w:r>
        <w:rPr>
          <w:rFonts w:ascii="Aptos" w:hAnsi="Aptos"/>
          <w:color w:val="263238"/>
          <w:sz w:val="18"/>
        </w:rPr>
        <w:t>Another intentional electronic action.</w:t>
      </w:r>
    </w:p>
    <w:p>
      <w:pPr>
        <w:keepLines/>
      </w:pPr>
      <w:r>
        <w:rPr>
          <w:rFonts w:ascii="Aptos" w:hAnsi="Aptos"/>
          <w:color w:val="263238"/>
          <w:sz w:val="19"/>
        </w:rPr>
        <w:t>The interface should identify the document, action, signer, bound party, intent, and review opportunity.</w:t>
      </w:r>
    </w:p>
    <w:p>
      <w:pPr>
        <w:pStyle w:val="Heading1"/>
        <w:keepNext/>
        <w:keepLines/>
      </w:pPr>
      <w:r>
        <w:rPr>
          <w:rFonts w:ascii="Aptos" w:hAnsi="Aptos"/>
          <w:color w:val="102A43"/>
          <w:sz w:val="28"/>
        </w:rPr>
        <w:t>ARTICLE 5 — AUTHORITY</w:t>
      </w:r>
    </w:p>
    <w:p>
      <w:pPr>
        <w:spacing w:after="56"/>
        <w:ind w:left="432" w:hanging="317"/>
      </w:pPr>
      <w:r>
        <w:rPr>
          <w:rFonts w:ascii="Aptos" w:hAnsi="Aptos"/>
          <w:color w:val="263238"/>
          <w:sz w:val="18"/>
        </w:rPr>
        <w:t xml:space="preserve">1.  </w:t>
      </w:r>
      <w:r>
        <w:rPr>
          <w:rFonts w:ascii="Aptos" w:hAnsi="Aptos"/>
          <w:color w:val="263238"/>
          <w:sz w:val="18"/>
        </w:rPr>
        <w:t>Every person signing for the Member warrants authority.</w:t>
      </w:r>
    </w:p>
    <w:p>
      <w:pPr>
        <w:spacing w:after="56"/>
        <w:ind w:left="432" w:hanging="317"/>
      </w:pPr>
      <w:r>
        <w:rPr>
          <w:rFonts w:ascii="Aptos" w:hAnsi="Aptos"/>
          <w:color w:val="263238"/>
          <w:sz w:val="18"/>
        </w:rPr>
        <w:t xml:space="preserve">2.  </w:t>
      </w:r>
      <w:r>
        <w:rPr>
          <w:rFonts w:ascii="Aptos" w:hAnsi="Aptos"/>
          <w:color w:val="263238"/>
          <w:sz w:val="18"/>
        </w:rPr>
        <w:t>PTE may require board resolutions, powers of attorney, incumbency certificates, or Account permissions.</w:t>
      </w:r>
    </w:p>
    <w:p>
      <w:pPr>
        <w:spacing w:after="56"/>
        <w:ind w:left="432" w:hanging="317"/>
      </w:pPr>
      <w:r>
        <w:rPr>
          <w:rFonts w:ascii="Aptos" w:hAnsi="Aptos"/>
          <w:color w:val="263238"/>
          <w:sz w:val="18"/>
        </w:rPr>
        <w:t xml:space="preserve">3.  </w:t>
      </w:r>
      <w:r>
        <w:rPr>
          <w:rFonts w:ascii="Aptos" w:hAnsi="Aptos"/>
          <w:color w:val="263238"/>
          <w:sz w:val="18"/>
        </w:rPr>
        <w:t>Transaction limits, dual signatures, categories, settlement authority, and expiration must be disclosed.</w:t>
      </w:r>
    </w:p>
    <w:p>
      <w:pPr>
        <w:spacing w:after="56"/>
        <w:ind w:left="432" w:hanging="317"/>
      </w:pPr>
      <w:r>
        <w:rPr>
          <w:rFonts w:ascii="Aptos" w:hAnsi="Aptos"/>
          <w:color w:val="263238"/>
          <w:sz w:val="18"/>
        </w:rPr>
        <w:t xml:space="preserve">4.  </w:t>
      </w:r>
      <w:r>
        <w:rPr>
          <w:rFonts w:ascii="Aptos" w:hAnsi="Aptos"/>
          <w:color w:val="263238"/>
          <w:sz w:val="18"/>
        </w:rPr>
        <w:t>Unauthorized signatures, impersonation, credential misuse, and signing after authority ends are prohibited.</w:t>
      </w:r>
    </w:p>
    <w:p>
      <w:pPr>
        <w:pStyle w:val="Heading1"/>
        <w:keepNext/>
        <w:keepLines/>
      </w:pPr>
      <w:r>
        <w:rPr>
          <w:rFonts w:ascii="Aptos" w:hAnsi="Aptos"/>
          <w:color w:val="102A43"/>
          <w:sz w:val="28"/>
        </w:rPr>
        <w:t>ARTICLE 6 — SECURITY</w:t>
      </w:r>
    </w:p>
    <w:p>
      <w:pPr>
        <w:keepLines/>
      </w:pPr>
      <w:r>
        <w:rPr>
          <w:rFonts w:ascii="Aptos" w:hAnsi="Aptos"/>
          <w:color w:val="263238"/>
          <w:sz w:val="19"/>
        </w:rPr>
        <w:t>Members must protect usernames, passwords, codes, tokens, certificates, recovery codes, email Accounts, and devices. PTE may require passwords, multifactor authentication, device review, IP review, callback verification, dual authorization, certificates, transaction codes, or manual review. Suspected compromise must be reported immediately.</w:t>
      </w:r>
    </w:p>
    <w:p>
      <w:pPr>
        <w:pStyle w:val="Heading1"/>
        <w:keepNext/>
        <w:keepLines/>
      </w:pPr>
      <w:r>
        <w:rPr>
          <w:rFonts w:ascii="Aptos" w:hAnsi="Aptos"/>
          <w:color w:val="102A43"/>
          <w:sz w:val="28"/>
        </w:rPr>
        <w:t>ARTICLE 7 — ATTRIBUTION</w:t>
      </w:r>
    </w:p>
    <w:p>
      <w:pPr>
        <w:keepLines/>
      </w:pPr>
      <w:r>
        <w:rPr>
          <w:rFonts w:ascii="Aptos" w:hAnsi="Aptos"/>
          <w:color w:val="263238"/>
          <w:sz w:val="19"/>
        </w:rPr>
        <w:t>An electronic record or signature may be attributed based on:</w:t>
      </w:r>
    </w:p>
    <w:p>
      <w:pPr>
        <w:spacing w:after="56"/>
        <w:ind w:left="432" w:hanging="317"/>
      </w:pPr>
      <w:r>
        <w:rPr>
          <w:rFonts w:ascii="Aptos" w:hAnsi="Aptos"/>
          <w:color w:val="263238"/>
          <w:sz w:val="18"/>
        </w:rPr>
        <w:t xml:space="preserve">1.  </w:t>
      </w:r>
      <w:r>
        <w:rPr>
          <w:rFonts w:ascii="Aptos" w:hAnsi="Aptos"/>
          <w:color w:val="263238"/>
          <w:sz w:val="18"/>
        </w:rPr>
        <w:t>Credentials and authentication;</w:t>
      </w:r>
    </w:p>
    <w:p>
      <w:pPr>
        <w:spacing w:after="56"/>
        <w:ind w:left="432" w:hanging="317"/>
      </w:pPr>
      <w:r>
        <w:rPr>
          <w:rFonts w:ascii="Aptos" w:hAnsi="Aptos"/>
          <w:color w:val="263238"/>
          <w:sz w:val="18"/>
        </w:rPr>
        <w:t xml:space="preserve">2.  </w:t>
      </w:r>
      <w:r>
        <w:rPr>
          <w:rFonts w:ascii="Aptos" w:hAnsi="Aptos"/>
          <w:color w:val="263238"/>
          <w:sz w:val="18"/>
        </w:rPr>
        <w:t>Email and Account;</w:t>
      </w:r>
    </w:p>
    <w:p>
      <w:pPr>
        <w:spacing w:after="56"/>
        <w:ind w:left="432" w:hanging="317"/>
      </w:pPr>
      <w:r>
        <w:rPr>
          <w:rFonts w:ascii="Aptos" w:hAnsi="Aptos"/>
          <w:color w:val="263238"/>
          <w:sz w:val="18"/>
        </w:rPr>
        <w:t xml:space="preserve">3.  </w:t>
      </w:r>
      <w:r>
        <w:rPr>
          <w:rFonts w:ascii="Aptos" w:hAnsi="Aptos"/>
          <w:color w:val="263238"/>
          <w:sz w:val="18"/>
        </w:rPr>
        <w:t>IP, device, date, time, and audit trail;</w:t>
      </w:r>
    </w:p>
    <w:p>
      <w:pPr>
        <w:spacing w:after="56"/>
        <w:ind w:left="432" w:hanging="317"/>
      </w:pPr>
      <w:r>
        <w:rPr>
          <w:rFonts w:ascii="Aptos" w:hAnsi="Aptos"/>
          <w:color w:val="263238"/>
          <w:sz w:val="18"/>
        </w:rPr>
        <w:t xml:space="preserve">4.  </w:t>
      </w:r>
      <w:r>
        <w:rPr>
          <w:rFonts w:ascii="Aptos" w:hAnsi="Aptos"/>
          <w:color w:val="263238"/>
          <w:sz w:val="18"/>
        </w:rPr>
        <w:t>Digital certificate or one-time code;</w:t>
      </w:r>
    </w:p>
    <w:p>
      <w:pPr>
        <w:spacing w:after="56"/>
        <w:ind w:left="432" w:hanging="317"/>
      </w:pPr>
      <w:r>
        <w:rPr>
          <w:rFonts w:ascii="Aptos" w:hAnsi="Aptos"/>
          <w:color w:val="263238"/>
          <w:sz w:val="18"/>
        </w:rPr>
        <w:t xml:space="preserve">5.  </w:t>
      </w:r>
      <w:r>
        <w:rPr>
          <w:rFonts w:ascii="Aptos" w:hAnsi="Aptos"/>
          <w:color w:val="263238"/>
          <w:sz w:val="18"/>
        </w:rPr>
        <w:t>Authority records;</w:t>
      </w:r>
    </w:p>
    <w:p>
      <w:pPr>
        <w:spacing w:after="56"/>
        <w:ind w:left="432" w:hanging="317"/>
      </w:pPr>
      <w:r>
        <w:rPr>
          <w:rFonts w:ascii="Aptos" w:hAnsi="Aptos"/>
          <w:color w:val="263238"/>
          <w:sz w:val="18"/>
        </w:rPr>
        <w:t xml:space="preserve">6.  </w:t>
      </w:r>
      <w:r>
        <w:rPr>
          <w:rFonts w:ascii="Aptos" w:hAnsi="Aptos"/>
          <w:color w:val="263238"/>
          <w:sz w:val="18"/>
        </w:rPr>
        <w:t>Prior conduct and context;</w:t>
      </w:r>
    </w:p>
    <w:p>
      <w:pPr>
        <w:spacing w:after="56"/>
        <w:ind w:left="432" w:hanging="317"/>
      </w:pPr>
      <w:r>
        <w:rPr>
          <w:rFonts w:ascii="Aptos" w:hAnsi="Aptos"/>
          <w:color w:val="263238"/>
          <w:sz w:val="18"/>
        </w:rPr>
        <w:t xml:space="preserve">7.  </w:t>
      </w:r>
      <w:r>
        <w:rPr>
          <w:rFonts w:ascii="Aptos" w:hAnsi="Aptos"/>
          <w:color w:val="263238"/>
          <w:sz w:val="18"/>
        </w:rPr>
        <w:t>Confirmation messages and surrounding evidence.</w:t>
      </w:r>
    </w:p>
    <w:p>
      <w:pPr>
        <w:keepLines/>
      </w:pPr>
      <w:r>
        <w:rPr>
          <w:rFonts w:ascii="Aptos" w:hAnsi="Aptos"/>
          <w:color w:val="263238"/>
          <w:sz w:val="19"/>
        </w:rPr>
        <w:t>Audit trails are evidence but do not prevent credible challenges based on fraud, identity theft, lack of authority, coercion, technical error, or compromise.</w:t>
      </w:r>
    </w:p>
    <w:p>
      <w:pPr>
        <w:pStyle w:val="Heading1"/>
        <w:keepNext/>
        <w:keepLines/>
      </w:pPr>
      <w:r>
        <w:rPr>
          <w:rFonts w:ascii="Aptos" w:hAnsi="Aptos"/>
          <w:color w:val="102A43"/>
          <w:sz w:val="28"/>
        </w:rPr>
        <w:t>ARTICLE 8 — ELECTRONIC TRANSACTIONS</w:t>
      </w:r>
    </w:p>
    <w:p>
      <w:pPr>
        <w:spacing w:after="56"/>
        <w:ind w:left="432" w:hanging="317"/>
      </w:pPr>
      <w:r>
        <w:rPr>
          <w:rFonts w:ascii="Aptos" w:hAnsi="Aptos"/>
          <w:color w:val="263238"/>
          <w:sz w:val="18"/>
        </w:rPr>
        <w:t xml:space="preserve">1.  </w:t>
      </w:r>
      <w:r>
        <w:rPr>
          <w:rFonts w:ascii="Aptos" w:hAnsi="Aptos"/>
          <w:color w:val="263238"/>
          <w:sz w:val="18"/>
        </w:rPr>
        <w:t>A Transaction may become binding through an accepted Transaction Confirmation, authenticated approval, signature, approved Order, authorized email where permitted, funding, Trade Credit authorization, or other stated method.</w:t>
      </w:r>
    </w:p>
    <w:p>
      <w:pPr>
        <w:spacing w:after="56"/>
        <w:ind w:left="432" w:hanging="317"/>
      </w:pPr>
      <w:r>
        <w:rPr>
          <w:rFonts w:ascii="Aptos" w:hAnsi="Aptos"/>
          <w:color w:val="263238"/>
          <w:sz w:val="18"/>
        </w:rPr>
        <w:t xml:space="preserve">2.  </w:t>
      </w:r>
      <w:r>
        <w:rPr>
          <w:rFonts w:ascii="Aptos" w:hAnsi="Aptos"/>
          <w:color w:val="263238"/>
          <w:sz w:val="18"/>
        </w:rPr>
        <w:t>Material terms must be reasonably available before binding approval.</w:t>
      </w:r>
    </w:p>
    <w:p>
      <w:pPr>
        <w:spacing w:after="56"/>
        <w:ind w:left="432" w:hanging="317"/>
      </w:pPr>
      <w:r>
        <w:rPr>
          <w:rFonts w:ascii="Aptos" w:hAnsi="Aptos"/>
          <w:color w:val="263238"/>
          <w:sz w:val="18"/>
        </w:rPr>
        <w:t xml:space="preserve">3.  </w:t>
      </w:r>
      <w:r>
        <w:rPr>
          <w:rFonts w:ascii="Aptos" w:hAnsi="Aptos"/>
          <w:color w:val="263238"/>
          <w:sz w:val="18"/>
        </w:rPr>
        <w:t>Mere viewing or download is not acceptance unless clearly and lawfully stated.</w:t>
      </w:r>
    </w:p>
    <w:p>
      <w:pPr>
        <w:spacing w:after="56"/>
        <w:ind w:left="432" w:hanging="317"/>
      </w:pPr>
      <w:r>
        <w:rPr>
          <w:rFonts w:ascii="Aptos" w:hAnsi="Aptos"/>
          <w:color w:val="263238"/>
          <w:sz w:val="18"/>
        </w:rPr>
        <w:t xml:space="preserve">4.  </w:t>
      </w:r>
      <w:r>
        <w:rPr>
          <w:rFonts w:ascii="Aptos" w:hAnsi="Aptos"/>
          <w:color w:val="263238"/>
          <w:sz w:val="18"/>
        </w:rPr>
        <w:t>Trade Credit and Conversion submissions are not complete until the System of Record shows the applicable final status.</w:t>
      </w:r>
    </w:p>
    <w:p>
      <w:pPr>
        <w:spacing w:after="56"/>
        <w:ind w:left="432" w:hanging="317"/>
      </w:pPr>
      <w:r>
        <w:rPr>
          <w:rFonts w:ascii="Aptos" w:hAnsi="Aptos"/>
          <w:color w:val="263238"/>
          <w:sz w:val="18"/>
        </w:rPr>
        <w:t xml:space="preserve">5.  </w:t>
      </w:r>
      <w:r>
        <w:rPr>
          <w:rFonts w:ascii="Aptos" w:hAnsi="Aptos"/>
          <w:color w:val="263238"/>
          <w:sz w:val="18"/>
        </w:rPr>
        <w:t>High-risk actions may require enhanced authentication.</w:t>
      </w:r>
    </w:p>
    <w:p>
      <w:pPr>
        <w:pStyle w:val="Heading1"/>
        <w:keepNext/>
        <w:keepLines/>
      </w:pPr>
      <w:r>
        <w:rPr>
          <w:rFonts w:ascii="Aptos" w:hAnsi="Aptos"/>
          <w:color w:val="102A43"/>
          <w:sz w:val="28"/>
        </w:rPr>
        <w:t>ARTICLE 9 — AUTOMATED SYSTEMS AND ERRORS</w:t>
      </w:r>
    </w:p>
    <w:p>
      <w:pPr>
        <w:spacing w:after="56"/>
        <w:ind w:left="432" w:hanging="317"/>
      </w:pPr>
      <w:r>
        <w:rPr>
          <w:rFonts w:ascii="Aptos" w:hAnsi="Aptos"/>
          <w:color w:val="263238"/>
          <w:sz w:val="18"/>
        </w:rPr>
        <w:t xml:space="preserve">1.  </w:t>
      </w:r>
      <w:r>
        <w:rPr>
          <w:rFonts w:ascii="Aptos" w:hAnsi="Aptos"/>
          <w:color w:val="263238"/>
          <w:sz w:val="18"/>
        </w:rPr>
        <w:t>Electronic agents may validate forms, match Members, calculate fees, record balances, generate documents, route approvals, send notices, and detect risk.</w:t>
      </w:r>
    </w:p>
    <w:p>
      <w:pPr>
        <w:spacing w:after="56"/>
        <w:ind w:left="432" w:hanging="317"/>
      </w:pPr>
      <w:r>
        <w:rPr>
          <w:rFonts w:ascii="Aptos" w:hAnsi="Aptos"/>
          <w:color w:val="263238"/>
          <w:sz w:val="18"/>
        </w:rPr>
        <w:t xml:space="preserve">2.  </w:t>
      </w:r>
      <w:r>
        <w:rPr>
          <w:rFonts w:ascii="Aptos" w:hAnsi="Aptos"/>
          <w:color w:val="263238"/>
          <w:sz w:val="18"/>
        </w:rPr>
        <w:t>A contract may be formed through automated systems where the process and law recognize it.</w:t>
      </w:r>
    </w:p>
    <w:p>
      <w:pPr>
        <w:spacing w:after="56"/>
        <w:ind w:left="432" w:hanging="317"/>
      </w:pPr>
      <w:r>
        <w:rPr>
          <w:rFonts w:ascii="Aptos" w:hAnsi="Aptos"/>
          <w:color w:val="263238"/>
          <w:sz w:val="18"/>
        </w:rPr>
        <w:t xml:space="preserve">3.  </w:t>
      </w:r>
      <w:r>
        <w:rPr>
          <w:rFonts w:ascii="Aptos" w:hAnsi="Aptos"/>
          <w:color w:val="263238"/>
          <w:sz w:val="18"/>
        </w:rPr>
        <w:t>Review and correction opportunities will be provided where reasonably practical.</w:t>
      </w:r>
    </w:p>
    <w:p>
      <w:pPr>
        <w:spacing w:after="56"/>
        <w:ind w:left="432" w:hanging="317"/>
      </w:pPr>
      <w:r>
        <w:rPr>
          <w:rFonts w:ascii="Aptos" w:hAnsi="Aptos"/>
          <w:color w:val="263238"/>
          <w:sz w:val="18"/>
        </w:rPr>
        <w:t xml:space="preserve">4.  </w:t>
      </w:r>
      <w:r>
        <w:rPr>
          <w:rFonts w:ascii="Aptos" w:hAnsi="Aptos"/>
          <w:color w:val="263238"/>
          <w:sz w:val="18"/>
        </w:rPr>
        <w:t>Errors must be reported promptly with the record, date, error, intended action, value used, evidence, and requested correction.</w:t>
      </w:r>
    </w:p>
    <w:p>
      <w:pPr>
        <w:spacing w:after="56"/>
        <w:ind w:left="432" w:hanging="317"/>
      </w:pPr>
      <w:r>
        <w:rPr>
          <w:rFonts w:ascii="Aptos" w:hAnsi="Aptos"/>
          <w:color w:val="263238"/>
          <w:sz w:val="18"/>
        </w:rPr>
        <w:t xml:space="preserve">5.  </w:t>
      </w:r>
      <w:r>
        <w:rPr>
          <w:rFonts w:ascii="Aptos" w:hAnsi="Aptos"/>
          <w:color w:val="263238"/>
          <w:sz w:val="18"/>
        </w:rPr>
        <w:t>An error report does not automatically cancel a binding Transaction.</w:t>
      </w:r>
    </w:p>
    <w:p>
      <w:pPr>
        <w:pStyle w:val="Heading1"/>
        <w:keepNext/>
        <w:keepLines/>
      </w:pPr>
      <w:r>
        <w:rPr>
          <w:rFonts w:ascii="Aptos" w:hAnsi="Aptos"/>
          <w:color w:val="102A43"/>
          <w:sz w:val="28"/>
        </w:rPr>
        <w:t>ARTICLE 10 — NOTICES AND RECEIPT</w:t>
      </w:r>
    </w:p>
    <w:p>
      <w:pPr>
        <w:spacing w:after="56"/>
        <w:ind w:left="432" w:hanging="317"/>
      </w:pPr>
      <w:r>
        <w:rPr>
          <w:rFonts w:ascii="Aptos" w:hAnsi="Aptos"/>
          <w:color w:val="263238"/>
          <w:sz w:val="18"/>
        </w:rPr>
        <w:t xml:space="preserve">1.  </w:t>
      </w:r>
      <w:r>
        <w:rPr>
          <w:rFonts w:ascii="Aptos" w:hAnsi="Aptos"/>
          <w:color w:val="263238"/>
          <w:sz w:val="18"/>
        </w:rPr>
        <w:t>PTE may send contractual notices to the Account, registered email, Account Administrator, legal contact, billing contact, or Transaction signatory.</w:t>
      </w:r>
    </w:p>
    <w:p>
      <w:pPr>
        <w:spacing w:after="56"/>
        <w:ind w:left="432" w:hanging="317"/>
      </w:pPr>
      <w:r>
        <w:rPr>
          <w:rFonts w:ascii="Aptos" w:hAnsi="Aptos"/>
          <w:color w:val="263238"/>
          <w:sz w:val="18"/>
        </w:rPr>
        <w:t xml:space="preserve">2.  </w:t>
      </w:r>
      <w:r>
        <w:rPr>
          <w:rFonts w:ascii="Aptos" w:hAnsi="Aptos"/>
          <w:color w:val="263238"/>
          <w:sz w:val="18"/>
        </w:rPr>
        <w:t>A record may be sent when properly directed and leaving the sender’s control.</w:t>
      </w:r>
    </w:p>
    <w:p>
      <w:pPr>
        <w:spacing w:after="56"/>
        <w:ind w:left="432" w:hanging="317"/>
      </w:pPr>
      <w:r>
        <w:rPr>
          <w:rFonts w:ascii="Aptos" w:hAnsi="Aptos"/>
          <w:color w:val="263238"/>
          <w:sz w:val="18"/>
        </w:rPr>
        <w:t xml:space="preserve">3.  </w:t>
      </w:r>
      <w:r>
        <w:rPr>
          <w:rFonts w:ascii="Aptos" w:hAnsi="Aptos"/>
          <w:color w:val="263238"/>
          <w:sz w:val="18"/>
        </w:rPr>
        <w:t>It may be received when it enters the designated or regularly used system and is available for retrieval, even before being opened, subject to applicable law.</w:t>
      </w:r>
    </w:p>
    <w:p>
      <w:pPr>
        <w:spacing w:after="56"/>
        <w:ind w:left="432" w:hanging="317"/>
      </w:pPr>
      <w:r>
        <w:rPr>
          <w:rFonts w:ascii="Aptos" w:hAnsi="Aptos"/>
          <w:color w:val="263238"/>
          <w:sz w:val="18"/>
        </w:rPr>
        <w:t xml:space="preserve">4.  </w:t>
      </w:r>
      <w:r>
        <w:rPr>
          <w:rFonts w:ascii="Aptos" w:hAnsi="Aptos"/>
          <w:color w:val="263238"/>
          <w:sz w:val="18"/>
        </w:rPr>
        <w:t>An Account-posted record may be delivered when available and accompanied by notice where reasonably required.</w:t>
      </w:r>
    </w:p>
    <w:p>
      <w:pPr>
        <w:spacing w:after="56"/>
        <w:ind w:left="432" w:hanging="317"/>
      </w:pPr>
      <w:r>
        <w:rPr>
          <w:rFonts w:ascii="Aptos" w:hAnsi="Aptos"/>
          <w:color w:val="263238"/>
          <w:sz w:val="18"/>
        </w:rPr>
        <w:t xml:space="preserve">5.  </w:t>
      </w:r>
      <w:r>
        <w:rPr>
          <w:rFonts w:ascii="Aptos" w:hAnsi="Aptos"/>
          <w:color w:val="263238"/>
          <w:sz w:val="18"/>
        </w:rPr>
        <w:t>Members must keep contact details current and may not deliberately interfere with delivery.</w:t>
      </w:r>
    </w:p>
    <w:p>
      <w:pPr>
        <w:pStyle w:val="Heading1"/>
        <w:keepNext/>
        <w:keepLines/>
      </w:pPr>
      <w:r>
        <w:rPr>
          <w:rFonts w:ascii="Aptos" w:hAnsi="Aptos"/>
          <w:color w:val="102A43"/>
          <w:sz w:val="28"/>
        </w:rPr>
        <w:t>ARTICLE 11 — PAPER COPIES</w:t>
      </w:r>
    </w:p>
    <w:p>
      <w:pPr>
        <w:spacing w:after="56"/>
        <w:ind w:left="432" w:hanging="317"/>
      </w:pPr>
      <w:r>
        <w:rPr>
          <w:rFonts w:ascii="Aptos" w:hAnsi="Aptos"/>
          <w:color w:val="263238"/>
          <w:sz w:val="18"/>
        </w:rPr>
        <w:t xml:space="preserve">1.  </w:t>
      </w:r>
      <w:r>
        <w:rPr>
          <w:rFonts w:ascii="Aptos" w:hAnsi="Aptos"/>
          <w:color w:val="263238"/>
          <w:sz w:val="18"/>
        </w:rPr>
        <w:t>Members may request available paper copies.</w:t>
      </w:r>
    </w:p>
    <w:p>
      <w:pPr>
        <w:spacing w:after="56"/>
        <w:ind w:left="432" w:hanging="317"/>
      </w:pPr>
      <w:r>
        <w:rPr>
          <w:rFonts w:ascii="Aptos" w:hAnsi="Aptos"/>
          <w:color w:val="263238"/>
          <w:sz w:val="18"/>
        </w:rPr>
        <w:t xml:space="preserve">2.  </w:t>
      </w:r>
      <w:r>
        <w:rPr>
          <w:rFonts w:ascii="Aptos" w:hAnsi="Aptos"/>
          <w:color w:val="263238"/>
          <w:sz w:val="18"/>
        </w:rPr>
        <w:t>Electronic copies may be free.</w:t>
      </w:r>
    </w:p>
    <w:p>
      <w:pPr>
        <w:spacing w:after="56"/>
        <w:ind w:left="432" w:hanging="317"/>
      </w:pPr>
      <w:r>
        <w:rPr>
          <w:rFonts w:ascii="Aptos" w:hAnsi="Aptos"/>
          <w:color w:val="263238"/>
          <w:sz w:val="18"/>
        </w:rPr>
        <w:t xml:space="preserve">3.  </w:t>
      </w:r>
      <w:r>
        <w:rPr>
          <w:rFonts w:ascii="Aptos" w:hAnsi="Aptos"/>
          <w:color w:val="263238"/>
          <w:sz w:val="18"/>
        </w:rPr>
        <w:t>Reasonable printing, certification, notarization, apostille, courier, or shipping charges may apply after disclosure and acceptance, where lawful.</w:t>
      </w:r>
    </w:p>
    <w:p>
      <w:pPr>
        <w:spacing w:after="56"/>
        <w:ind w:left="432" w:hanging="317"/>
      </w:pPr>
      <w:r>
        <w:rPr>
          <w:rFonts w:ascii="Aptos" w:hAnsi="Aptos"/>
          <w:color w:val="263238"/>
          <w:sz w:val="18"/>
        </w:rPr>
        <w:t xml:space="preserve">4.  </w:t>
      </w:r>
      <w:r>
        <w:rPr>
          <w:rFonts w:ascii="Aptos" w:hAnsi="Aptos"/>
          <w:color w:val="263238"/>
          <w:sz w:val="18"/>
        </w:rPr>
        <w:t>No charge applies where law requires free paper delivery.</w:t>
      </w:r>
    </w:p>
    <w:p>
      <w:pPr>
        <w:pStyle w:val="Heading1"/>
        <w:keepNext/>
        <w:keepLines/>
      </w:pPr>
      <w:r>
        <w:rPr>
          <w:rFonts w:ascii="Aptos" w:hAnsi="Aptos"/>
          <w:color w:val="102A43"/>
          <w:sz w:val="28"/>
        </w:rPr>
        <w:t>ARTICLE 12 — WITHDRAWAL</w:t>
      </w:r>
    </w:p>
    <w:p>
      <w:pPr>
        <w:spacing w:after="56"/>
        <w:ind w:left="432" w:hanging="317"/>
      </w:pPr>
      <w:r>
        <w:rPr>
          <w:rFonts w:ascii="Aptos" w:hAnsi="Aptos"/>
          <w:color w:val="263238"/>
          <w:sz w:val="18"/>
        </w:rPr>
        <w:t xml:space="preserve">1.  </w:t>
      </w:r>
      <w:r>
        <w:rPr>
          <w:rFonts w:ascii="Aptos" w:hAnsi="Aptos"/>
          <w:color w:val="263238"/>
          <w:sz w:val="18"/>
        </w:rPr>
        <w:t xml:space="preserve">Consent may be withdrawn prospectively through the Account, support system, or </w:t>
      </w:r>
      <w:r>
        <w:rPr>
          <w:rFonts w:ascii="Aptos" w:hAnsi="Aptos"/>
          <w:b/>
          <w:color w:val="263238"/>
          <w:sz w:val="18"/>
        </w:rPr>
        <w:t>info@wtebiz.com</w:t>
      </w:r>
      <w:r>
        <w:rPr>
          <w:rFonts w:ascii="Aptos" w:hAnsi="Aptos"/>
          <w:color w:val="263238"/>
          <w:sz w:val="18"/>
        </w:rPr>
        <w:t>.</w:t>
      </w:r>
    </w:p>
    <w:p>
      <w:pPr>
        <w:spacing w:after="56"/>
        <w:ind w:left="432" w:hanging="317"/>
      </w:pPr>
      <w:r>
        <w:rPr>
          <w:rFonts w:ascii="Aptos" w:hAnsi="Aptos"/>
          <w:color w:val="263238"/>
          <w:sz w:val="18"/>
        </w:rPr>
        <w:t xml:space="preserve">2.  </w:t>
      </w:r>
      <w:r>
        <w:rPr>
          <w:rFonts w:ascii="Aptos" w:hAnsi="Aptos"/>
          <w:color w:val="263238"/>
          <w:sz w:val="18"/>
        </w:rPr>
        <w:t>Prior electronic records, signatures, notices, Transactions, and obligations remain valid.</w:t>
      </w:r>
    </w:p>
    <w:p>
      <w:pPr>
        <w:spacing w:after="56"/>
        <w:ind w:left="432" w:hanging="317"/>
      </w:pPr>
      <w:r>
        <w:rPr>
          <w:rFonts w:ascii="Aptos" w:hAnsi="Aptos"/>
          <w:color w:val="263238"/>
          <w:sz w:val="18"/>
        </w:rPr>
        <w:t xml:space="preserve">3.  </w:t>
      </w:r>
      <w:r>
        <w:rPr>
          <w:rFonts w:ascii="Aptos" w:hAnsi="Aptos"/>
          <w:color w:val="263238"/>
          <w:sz w:val="18"/>
        </w:rPr>
        <w:t>Because PTE is primarily electronic, withdrawal may restrict or end online Accounts, Marketplace, Transactions, Trade Credit transfers, Conversion, statements, verification, or support.</w:t>
      </w:r>
    </w:p>
    <w:p>
      <w:pPr>
        <w:spacing w:after="56"/>
        <w:ind w:left="432" w:hanging="317"/>
      </w:pPr>
      <w:r>
        <w:rPr>
          <w:rFonts w:ascii="Aptos" w:hAnsi="Aptos"/>
          <w:color w:val="263238"/>
          <w:sz w:val="18"/>
        </w:rPr>
        <w:t xml:space="preserve">4.  </w:t>
      </w:r>
      <w:r>
        <w:rPr>
          <w:rFonts w:ascii="Aptos" w:hAnsi="Aptos"/>
          <w:color w:val="263238"/>
          <w:sz w:val="18"/>
        </w:rPr>
        <w:t>Existing Transactions and accrued obligations remain.</w:t>
      </w:r>
    </w:p>
    <w:p>
      <w:pPr>
        <w:spacing w:after="56"/>
        <w:ind w:left="432" w:hanging="317"/>
      </w:pPr>
      <w:r>
        <w:rPr>
          <w:rFonts w:ascii="Aptos" w:hAnsi="Aptos"/>
          <w:color w:val="263238"/>
          <w:sz w:val="18"/>
        </w:rPr>
        <w:t xml:space="preserve">5.  </w:t>
      </w:r>
      <w:r>
        <w:rPr>
          <w:rFonts w:ascii="Aptos" w:hAnsi="Aptos"/>
          <w:color w:val="263238"/>
          <w:sz w:val="18"/>
        </w:rPr>
        <w:t>A specific pending authorization may be revoked only where the applicable stage, agreement, and law permit.</w:t>
      </w:r>
    </w:p>
    <w:p>
      <w:pPr>
        <w:pStyle w:val="Heading1"/>
        <w:keepNext/>
        <w:keepLines/>
      </w:pPr>
      <w:r>
        <w:rPr>
          <w:rFonts w:ascii="Aptos" w:hAnsi="Aptos"/>
          <w:color w:val="102A43"/>
          <w:sz w:val="28"/>
        </w:rPr>
        <w:t>ARTICLE 13 — RETENTION AND ACCESS</w:t>
      </w:r>
    </w:p>
    <w:p>
      <w:pPr>
        <w:spacing w:after="56"/>
        <w:ind w:left="432" w:hanging="317"/>
      </w:pPr>
      <w:r>
        <w:rPr>
          <w:rFonts w:ascii="Aptos" w:hAnsi="Aptos"/>
          <w:color w:val="263238"/>
          <w:sz w:val="18"/>
        </w:rPr>
        <w:t xml:space="preserve">1.  </w:t>
      </w:r>
      <w:r>
        <w:rPr>
          <w:rFonts w:ascii="Aptos" w:hAnsi="Aptos"/>
          <w:color w:val="263238"/>
          <w:sz w:val="18"/>
        </w:rPr>
        <w:t>PTE may retain accessible, accurate, reproducible, and protected electronic records for at least seven years after the relevant relationship, Transaction, Conversion, dispute, or Account activity.</w:t>
      </w:r>
    </w:p>
    <w:p>
      <w:pPr>
        <w:spacing w:after="56"/>
        <w:ind w:left="432" w:hanging="317"/>
      </w:pPr>
      <w:r>
        <w:rPr>
          <w:rFonts w:ascii="Aptos" w:hAnsi="Aptos"/>
          <w:color w:val="263238"/>
          <w:sz w:val="18"/>
        </w:rPr>
        <w:t xml:space="preserve">2.  </w:t>
      </w:r>
      <w:r>
        <w:rPr>
          <w:rFonts w:ascii="Aptos" w:hAnsi="Aptos"/>
          <w:color w:val="263238"/>
          <w:sz w:val="18"/>
        </w:rPr>
        <w:t>Longer retention may apply for litigation, tax, sanctions, fraud, security, legal hold, or enforcement.</w:t>
      </w:r>
    </w:p>
    <w:p>
      <w:pPr>
        <w:spacing w:after="56"/>
        <w:ind w:left="432" w:hanging="317"/>
      </w:pPr>
      <w:r>
        <w:rPr>
          <w:rFonts w:ascii="Aptos" w:hAnsi="Aptos"/>
          <w:color w:val="263238"/>
          <w:sz w:val="18"/>
        </w:rPr>
        <w:t xml:space="preserve">3.  </w:t>
      </w:r>
      <w:r>
        <w:rPr>
          <w:rFonts w:ascii="Aptos" w:hAnsi="Aptos"/>
          <w:color w:val="263238"/>
          <w:sz w:val="18"/>
        </w:rPr>
        <w:t>Members should download important records before Account closure.</w:t>
      </w:r>
    </w:p>
    <w:p>
      <w:pPr>
        <w:spacing w:after="56"/>
        <w:ind w:left="432" w:hanging="317"/>
      </w:pPr>
      <w:r>
        <w:rPr>
          <w:rFonts w:ascii="Aptos" w:hAnsi="Aptos"/>
          <w:color w:val="263238"/>
          <w:sz w:val="18"/>
        </w:rPr>
        <w:t xml:space="preserve">4.  </w:t>
      </w:r>
      <w:r>
        <w:rPr>
          <w:rFonts w:ascii="Aptos" w:hAnsi="Aptos"/>
          <w:color w:val="263238"/>
          <w:sz w:val="18"/>
        </w:rPr>
        <w:t>Later copies are subject to identity, authority, confidentiality, legal, availability, and permitted fee requirements.</w:t>
      </w:r>
    </w:p>
    <w:p>
      <w:pPr>
        <w:pStyle w:val="Heading1"/>
        <w:keepNext/>
        <w:keepLines/>
      </w:pPr>
      <w:r>
        <w:rPr>
          <w:rFonts w:ascii="Aptos" w:hAnsi="Aptos"/>
          <w:color w:val="102A43"/>
          <w:sz w:val="28"/>
        </w:rPr>
        <w:t>ARTICLE 14 — ORIGINALS, COUNTERPARTS, AND SPECIAL DOCUMENTS</w:t>
      </w:r>
    </w:p>
    <w:p>
      <w:pPr>
        <w:spacing w:after="56"/>
        <w:ind w:left="432" w:hanging="317"/>
      </w:pPr>
      <w:r>
        <w:rPr>
          <w:rFonts w:ascii="Aptos" w:hAnsi="Aptos"/>
          <w:color w:val="263238"/>
          <w:sz w:val="18"/>
        </w:rPr>
        <w:t xml:space="preserve">1.  </w:t>
      </w:r>
      <w:r>
        <w:rPr>
          <w:rFonts w:ascii="Aptos" w:hAnsi="Aptos"/>
          <w:color w:val="263238"/>
          <w:sz w:val="18"/>
        </w:rPr>
        <w:t>The authoritative electronic record may serve as the original where lawful.</w:t>
      </w:r>
    </w:p>
    <w:p>
      <w:pPr>
        <w:spacing w:after="56"/>
        <w:ind w:left="432" w:hanging="317"/>
      </w:pPr>
      <w:r>
        <w:rPr>
          <w:rFonts w:ascii="Aptos" w:hAnsi="Aptos"/>
          <w:color w:val="263238"/>
          <w:sz w:val="18"/>
        </w:rPr>
        <w:t xml:space="preserve">2.  </w:t>
      </w:r>
      <w:r>
        <w:rPr>
          <w:rFonts w:ascii="Aptos" w:hAnsi="Aptos"/>
          <w:color w:val="263238"/>
          <w:sz w:val="18"/>
        </w:rPr>
        <w:t>Documents may be signed in electronic or paper counterparts.</w:t>
      </w:r>
    </w:p>
    <w:p>
      <w:pPr>
        <w:spacing w:after="56"/>
        <w:ind w:left="432" w:hanging="317"/>
      </w:pPr>
      <w:r>
        <w:rPr>
          <w:rFonts w:ascii="Aptos" w:hAnsi="Aptos"/>
          <w:color w:val="263238"/>
          <w:sz w:val="18"/>
        </w:rPr>
        <w:t xml:space="preserve">3.  </w:t>
      </w:r>
      <w:r>
        <w:rPr>
          <w:rFonts w:ascii="Aptos" w:hAnsi="Aptos"/>
          <w:color w:val="263238"/>
          <w:sz w:val="18"/>
        </w:rPr>
        <w:t>Scans and reproductions may be treated as copies subject to authenticity and integrity.</w:t>
      </w:r>
    </w:p>
    <w:p>
      <w:pPr>
        <w:spacing w:after="56"/>
        <w:ind w:left="432" w:hanging="317"/>
      </w:pPr>
      <w:r>
        <w:rPr>
          <w:rFonts w:ascii="Aptos" w:hAnsi="Aptos"/>
          <w:color w:val="263238"/>
          <w:sz w:val="18"/>
        </w:rPr>
        <w:t xml:space="preserve">4.  </w:t>
      </w:r>
      <w:r>
        <w:rPr>
          <w:rFonts w:ascii="Aptos" w:hAnsi="Aptos"/>
          <w:color w:val="263238"/>
          <w:sz w:val="18"/>
        </w:rPr>
        <w:t>Some wills, family documents, court or safety notices, negotiable instruments, government filings, physical-possession records, notarized instruments, or other legally excluded documents may require special treatment.</w:t>
      </w:r>
    </w:p>
    <w:p>
      <w:pPr>
        <w:spacing w:after="56"/>
        <w:ind w:left="432" w:hanging="317"/>
      </w:pPr>
      <w:r>
        <w:rPr>
          <w:rFonts w:ascii="Aptos" w:hAnsi="Aptos"/>
          <w:color w:val="263238"/>
          <w:sz w:val="18"/>
        </w:rPr>
        <w:t xml:space="preserve">5.  </w:t>
      </w:r>
      <w:r>
        <w:rPr>
          <w:rFonts w:ascii="Aptos" w:hAnsi="Aptos"/>
          <w:color w:val="263238"/>
          <w:sz w:val="18"/>
        </w:rPr>
        <w:t>PTE may require wet ink, witnesses, notarization, apostille, legalization, or paper originals.</w:t>
      </w:r>
    </w:p>
    <w:p>
      <w:pPr>
        <w:pStyle w:val="Heading1"/>
        <w:keepNext/>
        <w:keepLines/>
      </w:pPr>
      <w:r>
        <w:rPr>
          <w:rFonts w:ascii="Aptos" w:hAnsi="Aptos"/>
          <w:color w:val="102A43"/>
          <w:sz w:val="28"/>
        </w:rPr>
        <w:t>ARTICLE 15 — EVIDENCE</w:t>
      </w:r>
    </w:p>
    <w:p>
      <w:pPr>
        <w:keepLines/>
      </w:pPr>
      <w:r>
        <w:rPr>
          <w:rFonts w:ascii="Aptos" w:hAnsi="Aptos"/>
          <w:color w:val="263238"/>
          <w:sz w:val="19"/>
        </w:rPr>
        <w:t>Electronic records may evidence formation, acceptance, authority, notice, Account access, instructions, payment, Trade Credit activity, Conversion, delivery, acceptance, and disputes. Parties will not object solely because a record is electronic, but may raise authenticity, alteration, fraud, authority, privilege, hearsay, relevance, or other lawful objections.</w:t>
      </w:r>
    </w:p>
    <w:p>
      <w:pPr>
        <w:pStyle w:val="Heading1"/>
        <w:keepNext/>
        <w:keepLines/>
      </w:pPr>
      <w:r>
        <w:rPr>
          <w:rFonts w:ascii="Aptos" w:hAnsi="Aptos"/>
          <w:color w:val="102A43"/>
          <w:sz w:val="28"/>
        </w:rPr>
        <w:t>ARTICLE 16 — PRIVACY AND CONFIDENTIALITY</w:t>
      </w:r>
    </w:p>
    <w:p>
      <w:pPr>
        <w:keepLines/>
      </w:pPr>
      <w:r>
        <w:rPr>
          <w:rFonts w:ascii="Aptos" w:hAnsi="Aptos"/>
          <w:color w:val="263238"/>
          <w:sz w:val="19"/>
        </w:rPr>
        <w:t>Electronic systems may process name, email, title, company, signature, Account ID, time, IP, device, authentication, document activity, certificate, and communications. Processing follows the Privacy Policy. Members must secure inboxes, downloaded documents, devices, recipients, and printed copies.</w:t>
      </w:r>
    </w:p>
    <w:p>
      <w:pPr>
        <w:pStyle w:val="Heading1"/>
        <w:keepNext/>
        <w:keepLines/>
      </w:pPr>
      <w:r>
        <w:rPr>
          <w:rFonts w:ascii="Aptos" w:hAnsi="Aptos"/>
          <w:color w:val="102A43"/>
          <w:sz w:val="28"/>
        </w:rPr>
        <w:t>ARTICLE 17 — RISKS AND OUTAGES</w:t>
      </w:r>
    </w:p>
    <w:p>
      <w:pPr>
        <w:keepLines/>
      </w:pPr>
      <w:r>
        <w:rPr>
          <w:rFonts w:ascii="Aptos" w:hAnsi="Aptos"/>
          <w:color w:val="263238"/>
          <w:sz w:val="19"/>
        </w:rPr>
        <w:t>Electronic communications may be affected by delivery failure, spam filtering, phishing, malware, compromise, interception, device loss, corruption, outages, provider failure, formatting, and time zones. Sensitive instructions must use approved channels. PTE may provide alternative channels during outages.</w:t>
      </w:r>
    </w:p>
    <w:p>
      <w:pPr>
        <w:pStyle w:val="Heading1"/>
        <w:keepNext/>
        <w:keepLines/>
      </w:pPr>
      <w:r>
        <w:rPr>
          <w:rFonts w:ascii="Aptos" w:hAnsi="Aptos"/>
          <w:color w:val="102A43"/>
          <w:sz w:val="28"/>
        </w:rPr>
        <w:t>ARTICLE 18 — INTERNATIONAL RECOGNITION</w:t>
      </w:r>
    </w:p>
    <w:p>
      <w:pPr>
        <w:keepLines/>
      </w:pPr>
      <w:r>
        <w:rPr>
          <w:rFonts w:ascii="Aptos" w:hAnsi="Aptos"/>
          <w:color w:val="263238"/>
          <w:sz w:val="19"/>
        </w:rPr>
        <w:t>Electronic-signature rules vary by jurisdiction, document, authority, bank, registry, and provider. PTE may require local certificates, identity checks, notarization, witnessing, apostille, registration, or paper execution and does not guarantee universal third-party acceptance.</w:t>
      </w:r>
    </w:p>
    <w:p>
      <w:pPr>
        <w:pStyle w:val="Heading1"/>
        <w:keepNext/>
        <w:keepLines/>
      </w:pPr>
      <w:r>
        <w:rPr>
          <w:rFonts w:ascii="Aptos" w:hAnsi="Aptos"/>
          <w:color w:val="102A43"/>
          <w:sz w:val="28"/>
        </w:rPr>
        <w:t>ARTICLE 19 — LIABILITY AND INDEMNITY</w:t>
      </w:r>
    </w:p>
    <w:p>
      <w:pPr>
        <w:spacing w:after="56"/>
        <w:ind w:left="432" w:hanging="317"/>
      </w:pPr>
      <w:r>
        <w:rPr>
          <w:rFonts w:ascii="Aptos" w:hAnsi="Aptos"/>
          <w:color w:val="263238"/>
          <w:sz w:val="18"/>
        </w:rPr>
        <w:t xml:space="preserve">1.  </w:t>
      </w:r>
      <w:r>
        <w:rPr>
          <w:rFonts w:ascii="Aptos" w:hAnsi="Aptos"/>
          <w:color w:val="263238"/>
          <w:sz w:val="18"/>
        </w:rPr>
        <w:t>Liability follows the Membership Agreement.</w:t>
      </w:r>
    </w:p>
    <w:p>
      <w:pPr>
        <w:spacing w:after="56"/>
        <w:ind w:left="432" w:hanging="317"/>
      </w:pPr>
      <w:r>
        <w:rPr>
          <w:rFonts w:ascii="Aptos" w:hAnsi="Aptos"/>
          <w:color w:val="263238"/>
          <w:sz w:val="18"/>
        </w:rPr>
        <w:t xml:space="preserve">2.  </w:t>
      </w:r>
      <w:r>
        <w:rPr>
          <w:rFonts w:ascii="Aptos" w:hAnsi="Aptos"/>
          <w:color w:val="263238"/>
          <w:sz w:val="18"/>
        </w:rPr>
        <w:t>PTE is not liable for Member-controlled failures such as incorrect contact details, failure to review notices, credential sharing, insecure devices, failure to remove users, unsupported software, or unapproved channels, to the extent lawful.</w:t>
      </w:r>
    </w:p>
    <w:p>
      <w:pPr>
        <w:spacing w:after="56"/>
        <w:ind w:left="432" w:hanging="317"/>
      </w:pPr>
      <w:r>
        <w:rPr>
          <w:rFonts w:ascii="Aptos" w:hAnsi="Aptos"/>
          <w:color w:val="263238"/>
          <w:sz w:val="18"/>
        </w:rPr>
        <w:t xml:space="preserve">3.  </w:t>
      </w:r>
      <w:r>
        <w:rPr>
          <w:rFonts w:ascii="Aptos" w:hAnsi="Aptos"/>
          <w:color w:val="263238"/>
          <w:sz w:val="18"/>
        </w:rPr>
        <w:t>The Member indemnifies PTE and authorized providers for third-party claims arising from unauthorized signatures, false authority, credential sharing, fraudulent instructions, or Member security failure.</w:t>
      </w:r>
    </w:p>
    <w:p>
      <w:pPr>
        <w:spacing w:after="56"/>
        <w:ind w:left="432" w:hanging="317"/>
      </w:pPr>
      <w:r>
        <w:rPr>
          <w:rFonts w:ascii="Aptos" w:hAnsi="Aptos"/>
          <w:color w:val="263238"/>
          <w:sz w:val="18"/>
        </w:rPr>
        <w:t xml:space="preserve">4.  </w:t>
      </w:r>
      <w:r>
        <w:rPr>
          <w:rFonts w:ascii="Aptos" w:hAnsi="Aptos"/>
          <w:color w:val="263238"/>
          <w:sz w:val="18"/>
        </w:rPr>
        <w:t>Non-excludable liability remains.</w:t>
      </w:r>
    </w:p>
    <w:p>
      <w:pPr>
        <w:pStyle w:val="Heading1"/>
        <w:keepNext/>
        <w:keepLines/>
      </w:pPr>
      <w:r>
        <w:rPr>
          <w:rFonts w:ascii="Aptos" w:hAnsi="Aptos"/>
          <w:color w:val="102A43"/>
          <w:sz w:val="28"/>
        </w:rPr>
        <w:t>ARTICLE 20 — ACKNOWLEDGMENT</w:t>
      </w:r>
    </w:p>
    <w:p>
      <w:pPr>
        <w:keepLines/>
      </w:pPr>
      <w:r>
        <w:rPr>
          <w:rFonts w:ascii="Aptos" w:hAnsi="Aptos"/>
          <w:b/>
          <w:color w:val="263238"/>
          <w:sz w:val="19"/>
        </w:rPr>
        <w:t>Primary Electronic Notice Email:</w:t>
      </w:r>
      <w:r>
        <w:rPr>
          <w:rFonts w:ascii="Aptos" w:hAnsi="Aptos"/>
          <w:color w:val="263238"/>
          <w:sz w:val="19"/>
        </w:rPr>
        <w:t xml:space="preserve"> __________________________ </w:t>
      </w:r>
      <w:r>
        <w:rPr>
          <w:rFonts w:ascii="Aptos" w:hAnsi="Aptos"/>
          <w:b/>
          <w:color w:val="263238"/>
          <w:sz w:val="19"/>
        </w:rPr>
        <w:t>Member:</w:t>
      </w:r>
      <w:r>
        <w:rPr>
          <w:rFonts w:ascii="Aptos" w:hAnsi="Aptos"/>
          <w:color w:val="263238"/>
          <w:sz w:val="19"/>
        </w:rPr>
        <w:t xml:space="preserve"> ______________________________________________ </w:t>
      </w:r>
      <w:r>
        <w:rPr>
          <w:rFonts w:ascii="Aptos" w:hAnsi="Aptos"/>
          <w:b/>
          <w:color w:val="263238"/>
          <w:sz w:val="19"/>
        </w:rPr>
        <w:t>Authorized Signatory:</w:t>
      </w:r>
      <w:r>
        <w:rPr>
          <w:rFonts w:ascii="Aptos" w:hAnsi="Aptos"/>
          <w:color w:val="263238"/>
          <w:sz w:val="19"/>
        </w:rPr>
        <w:t xml:space="preserve"> _________________________________ </w:t>
      </w:r>
      <w:r>
        <w:rPr>
          <w:rFonts w:ascii="Aptos" w:hAnsi="Aptos"/>
          <w:b/>
          <w:color w:val="263238"/>
          <w:sz w:val="19"/>
        </w:rPr>
        <w:t>Signature:</w:t>
      </w:r>
      <w:r>
        <w:rPr>
          <w:rFonts w:ascii="Aptos" w:hAnsi="Aptos"/>
          <w:color w:val="263238"/>
          <w:sz w:val="19"/>
        </w:rPr>
        <w:t xml:space="preserve"> __________________________ </w:t>
      </w:r>
      <w:r>
        <w:rPr>
          <w:rFonts w:ascii="Aptos" w:hAnsi="Aptos"/>
          <w:b/>
          <w:color w:val="263238"/>
          <w:sz w:val="19"/>
        </w:rPr>
        <w:t>Date:</w:t>
      </w:r>
      <w:r>
        <w:rPr>
          <w:rFonts w:ascii="Aptos" w:hAnsi="Aptos"/>
          <w:color w:val="263238"/>
          <w:sz w:val="19"/>
        </w:rPr>
        <w:t xml:space="preserve"> _________</w:t>
      </w:r>
    </w:p>
    <w:p>
      <w:pPr>
        <w:pStyle w:val="Heading1"/>
      </w:pPr>
      <w:r>
        <w:t>CONTACT</w:t>
      </w:r>
    </w:p>
    <w:p>
      <w:r>
        <w:rPr>
          <w:rFonts w:ascii="Aptos" w:hAnsi="Aptos"/>
          <w:b/>
          <w:color w:val="263238"/>
          <w:sz w:val="18"/>
        </w:rPr>
        <w:t>Premier Trade Exchange</w:t>
      </w:r>
      <w:r>
        <w:rPr>
          <w:rFonts w:ascii="Aptos" w:hAnsi="Aptos"/>
          <w:color w:val="263238"/>
          <w:sz w:val="18"/>
        </w:rPr>
        <w:br/>
        <w:t>The RH Group LLC d/b/a Premier Trade Exchange</w:t>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sectPr w:rsidR="00FC693F" w:rsidRPr="0006063C" w:rsidSect="00034616">
      <w:headerReference w:type="default" r:id="rId9"/>
      <w:footerReference w:type="default" r:id="rId10"/>
      <w:pgSz w:w="12240" w:h="15840"/>
      <w:pgMar w:top="1037" w:right="1037" w:bottom="979" w:left="1123" w:header="46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536" w:val="center"/>
        <w:tab w:pos="9072" w:val="right"/>
      </w:tabs>
    </w:pPr>
    <w:r/>
    <w:r>
      <w:rPr>
        <w:rFonts w:ascii="Aptos" w:hAnsi="Aptos"/>
        <w:color w:val="5C6B73"/>
        <w:sz w:val="15"/>
      </w:rPr>
      <w:t>The RH Group LLC d/b/a Premier Trade Exchange</w:t>
    </w:r>
    <w:r>
      <w:tab/>
    </w:r>
    <w:r>
      <w:rPr>
        <w:rFonts w:ascii="Aptos" w:hAnsi="Aptos"/>
        <w:color w:val="5C6B73"/>
        <w:sz w:val="15"/>
      </w:rPr>
      <w:t>Version 1.0</w:t>
    </w:r>
    <w:r>
      <w:tab/>
    </w:r>
    <w:r>
      <w:rPr>
        <w:rFonts w:ascii="Aptos" w:hAnsi="Aptos"/>
        <w:color w:val="5C6B73"/>
        <w:sz w:val="15"/>
      </w:rPr>
      <w:t xml:space="preserve">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4" w:color="2F80C8"/>
      </w:pBdr>
    </w:pPr>
    <w:r/>
    <w:r>
      <w:rPr>
        <w:rFonts w:ascii="Aptos Display" w:hAnsi="Aptos Display"/>
        <w:b/>
        <w:color w:val="102A43"/>
        <w:sz w:val="16"/>
      </w:rPr>
      <w:t>PREMIER TRADE EXCHANGE</w:t>
    </w:r>
    <w:r>
      <w:rPr>
        <w:rFonts w:ascii="Aptos" w:hAnsi="Aptos"/>
        <w:color w:val="5C6B73"/>
        <w:sz w:val="15"/>
      </w:rPr>
      <w:t xml:space="preserve">   |   ELECTRONIC COMMUNICATIONS CONSENT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9" w:lineRule="auto"/>
    </w:pPr>
    <w:rPr>
      <w:rFonts w:ascii="Aptos" w:hAnsi="Aptos"/>
      <w:color w:val="263238"/>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ptos Display" w:hAnsi="Aptos Display"/>
      <w:b/>
      <w:bCs/>
      <w:color w:val="102A43"/>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2F80C8"/>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Display" w:hAnsi="Aptos Display"/>
      <w:b/>
      <w:bCs/>
      <w:color w:val="102A4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Aptos Display" w:hAnsi="Aptos Display"/>
      <w:b/>
      <w:color w:val="102A43"/>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Display" w:hAnsi="Aptos Display"/>
      <w:b/>
      <w:i/>
      <w:iCs/>
      <w:color w:val="2F80C8"/>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otice">
    <w:name w:val="Legal Notice"/>
    <w:pPr>
      <w:spacing w:before="80" w:after="120" w:line="259" w:lineRule="auto"/>
      <w:ind w:left="230" w:right="230"/>
    </w:pPr>
    <w:rPr>
      <w:rFonts w:ascii="Aptos" w:hAnsi="Aptos"/>
      <w:color w:val="102A43"/>
      <w:sz w:val="18"/>
    </w:rPr>
  </w:style>
  <w:style w:type="paragraph" w:customStyle="1" w:styleId="ContentsEntry">
    <w:name w:val="Contents Entry"/>
    <w:pPr>
      <w:spacing w:after="40"/>
    </w:pPr>
    <w:rPr>
      <w:rFonts w:ascii="Aptos" w:hAnsi="Aptos"/>
      <w:color w:val="26323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